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46DD4" w14:textId="44DCAA48" w:rsidR="001A637C" w:rsidRPr="00B8675C" w:rsidRDefault="001A637C" w:rsidP="001A637C">
      <w:pPr>
        <w:jc w:val="center"/>
        <w:rPr>
          <w:rFonts w:ascii="Times New Roman" w:hAnsi="Times New Roman" w:cs="Times New Roman"/>
          <w:b/>
          <w:bCs/>
          <w:sz w:val="24"/>
          <w:szCs w:val="24"/>
        </w:rPr>
      </w:pPr>
      <w:r w:rsidRPr="00B8675C">
        <w:rPr>
          <w:rFonts w:ascii="Times New Roman" w:hAnsi="Times New Roman" w:cs="Times New Roman"/>
          <w:b/>
          <w:bCs/>
          <w:sz w:val="24"/>
          <w:szCs w:val="24"/>
        </w:rPr>
        <w:t>PROJECT NO. 5</w:t>
      </w:r>
      <w:r w:rsidR="001712A7">
        <w:rPr>
          <w:rFonts w:ascii="Times New Roman" w:hAnsi="Times New Roman" w:cs="Times New Roman"/>
          <w:b/>
          <w:bCs/>
          <w:sz w:val="24"/>
          <w:szCs w:val="24"/>
        </w:rPr>
        <w:t>4224</w:t>
      </w:r>
    </w:p>
    <w:tbl>
      <w:tblPr>
        <w:tblStyle w:val="TableGrid"/>
        <w:tblW w:w="94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4"/>
        <w:gridCol w:w="336"/>
        <w:gridCol w:w="4500"/>
      </w:tblGrid>
      <w:tr w:rsidR="001A637C" w:rsidRPr="00B8675C" w14:paraId="1B65AEF7" w14:textId="77777777">
        <w:trPr>
          <w:trHeight w:val="1152"/>
          <w:jc w:val="center"/>
        </w:trPr>
        <w:tc>
          <w:tcPr>
            <w:tcW w:w="4614" w:type="dxa"/>
          </w:tcPr>
          <w:p w14:paraId="40362AAB" w14:textId="77777777" w:rsidR="001A637C" w:rsidRDefault="001A637C">
            <w:pPr>
              <w:rPr>
                <w:rFonts w:ascii="Times New Roman" w:hAnsi="Times New Roman" w:cs="Times New Roman"/>
                <w:b/>
                <w:bCs/>
                <w:w w:val="105"/>
                <w:position w:val="1"/>
                <w:sz w:val="24"/>
                <w:szCs w:val="24"/>
              </w:rPr>
            </w:pPr>
          </w:p>
          <w:p w14:paraId="6A9F4A10" w14:textId="09CB31BE" w:rsidR="001A637C" w:rsidRPr="00B8675C" w:rsidRDefault="005D1819">
            <w:pPr>
              <w:rPr>
                <w:rFonts w:ascii="Times New Roman" w:hAnsi="Times New Roman" w:cs="Times New Roman"/>
                <w:b/>
                <w:bCs/>
                <w:sz w:val="24"/>
                <w:szCs w:val="24"/>
              </w:rPr>
            </w:pPr>
            <w:r>
              <w:rPr>
                <w:rFonts w:ascii="Times New Roman" w:hAnsi="Times New Roman" w:cs="Times New Roman"/>
                <w:b/>
                <w:bCs/>
                <w:sz w:val="24"/>
                <w:szCs w:val="24"/>
              </w:rPr>
              <w:t>COST RECOVERY FOR SERVICE TO DISTRIBUTED ENERGY RESOURCES</w:t>
            </w:r>
            <w:r w:rsidR="004332B7">
              <w:rPr>
                <w:rFonts w:ascii="Times New Roman" w:hAnsi="Times New Roman" w:cs="Times New Roman"/>
                <w:b/>
                <w:bCs/>
                <w:sz w:val="24"/>
                <w:szCs w:val="24"/>
              </w:rPr>
              <w:t xml:space="preserve"> </w:t>
            </w:r>
            <w:r w:rsidR="00E8245D">
              <w:rPr>
                <w:rFonts w:ascii="Times New Roman" w:hAnsi="Times New Roman" w:cs="Times New Roman"/>
                <w:b/>
                <w:bCs/>
                <w:sz w:val="24"/>
                <w:szCs w:val="24"/>
              </w:rPr>
              <w:t>(</w:t>
            </w:r>
            <w:r w:rsidR="004332B7">
              <w:rPr>
                <w:rFonts w:ascii="Times New Roman" w:hAnsi="Times New Roman" w:cs="Times New Roman"/>
                <w:b/>
                <w:bCs/>
                <w:sz w:val="24"/>
                <w:szCs w:val="24"/>
              </w:rPr>
              <w:t>DERS</w:t>
            </w:r>
            <w:r w:rsidR="00E8245D">
              <w:rPr>
                <w:rFonts w:ascii="Times New Roman" w:hAnsi="Times New Roman" w:cs="Times New Roman"/>
                <w:b/>
                <w:bCs/>
                <w:sz w:val="24"/>
                <w:szCs w:val="24"/>
              </w:rPr>
              <w:t>)</w:t>
            </w:r>
          </w:p>
        </w:tc>
        <w:tc>
          <w:tcPr>
            <w:tcW w:w="336" w:type="dxa"/>
          </w:tcPr>
          <w:p w14:paraId="7BE94743" w14:textId="77777777" w:rsidR="001A637C" w:rsidRPr="00B8675C" w:rsidRDefault="001A637C">
            <w:pPr>
              <w:jc w:val="center"/>
              <w:rPr>
                <w:rFonts w:ascii="Times New Roman" w:hAnsi="Times New Roman" w:cs="Times New Roman"/>
                <w:b/>
                <w:bCs/>
                <w:sz w:val="24"/>
                <w:szCs w:val="24"/>
              </w:rPr>
            </w:pPr>
          </w:p>
          <w:p w14:paraId="3F5FD46B" w14:textId="77777777" w:rsidR="001A637C" w:rsidRPr="00B8675C" w:rsidRDefault="001A637C">
            <w:pPr>
              <w:jc w:val="center"/>
              <w:rPr>
                <w:rFonts w:ascii="Times New Roman" w:hAnsi="Times New Roman" w:cs="Times New Roman"/>
                <w:b/>
                <w:bCs/>
                <w:sz w:val="24"/>
                <w:szCs w:val="24"/>
              </w:rPr>
            </w:pPr>
            <w:r w:rsidRPr="00B8675C">
              <w:rPr>
                <w:rFonts w:ascii="Times New Roman" w:hAnsi="Times New Roman" w:cs="Times New Roman"/>
                <w:b/>
                <w:bCs/>
                <w:sz w:val="24"/>
                <w:szCs w:val="24"/>
              </w:rPr>
              <w:t>§</w:t>
            </w:r>
          </w:p>
          <w:p w14:paraId="5A64E91B" w14:textId="77777777" w:rsidR="001A637C" w:rsidRPr="00B8675C" w:rsidRDefault="001A637C">
            <w:pPr>
              <w:jc w:val="center"/>
              <w:rPr>
                <w:rFonts w:ascii="Times New Roman" w:hAnsi="Times New Roman" w:cs="Times New Roman"/>
                <w:b/>
                <w:bCs/>
                <w:sz w:val="24"/>
                <w:szCs w:val="24"/>
              </w:rPr>
            </w:pPr>
            <w:r w:rsidRPr="00B8675C">
              <w:rPr>
                <w:rFonts w:ascii="Times New Roman" w:hAnsi="Times New Roman" w:cs="Times New Roman"/>
                <w:b/>
                <w:bCs/>
                <w:sz w:val="24"/>
                <w:szCs w:val="24"/>
              </w:rPr>
              <w:t>§</w:t>
            </w:r>
          </w:p>
          <w:p w14:paraId="1424D255" w14:textId="77777777" w:rsidR="001A637C" w:rsidRDefault="001A637C">
            <w:pPr>
              <w:jc w:val="center"/>
              <w:rPr>
                <w:rFonts w:ascii="Times New Roman" w:hAnsi="Times New Roman" w:cs="Times New Roman"/>
                <w:b/>
                <w:bCs/>
                <w:sz w:val="24"/>
                <w:szCs w:val="24"/>
              </w:rPr>
            </w:pPr>
            <w:r w:rsidRPr="00B8675C">
              <w:rPr>
                <w:rFonts w:ascii="Times New Roman" w:hAnsi="Times New Roman" w:cs="Times New Roman"/>
                <w:b/>
                <w:bCs/>
                <w:sz w:val="24"/>
                <w:szCs w:val="24"/>
              </w:rPr>
              <w:t>§</w:t>
            </w:r>
          </w:p>
          <w:p w14:paraId="6C4FA1A6" w14:textId="63A5B495" w:rsidR="004332B7" w:rsidRPr="00B8675C" w:rsidRDefault="004332B7">
            <w:pPr>
              <w:jc w:val="center"/>
              <w:rPr>
                <w:rFonts w:ascii="Times New Roman" w:hAnsi="Times New Roman" w:cs="Times New Roman"/>
                <w:b/>
                <w:bCs/>
                <w:sz w:val="24"/>
                <w:szCs w:val="24"/>
              </w:rPr>
            </w:pPr>
            <w:r w:rsidRPr="00B8675C">
              <w:rPr>
                <w:rFonts w:ascii="Times New Roman" w:hAnsi="Times New Roman" w:cs="Times New Roman"/>
                <w:b/>
                <w:bCs/>
                <w:sz w:val="24"/>
                <w:szCs w:val="24"/>
              </w:rPr>
              <w:t>§</w:t>
            </w:r>
          </w:p>
        </w:tc>
        <w:tc>
          <w:tcPr>
            <w:tcW w:w="4500" w:type="dxa"/>
          </w:tcPr>
          <w:p w14:paraId="45F94C46" w14:textId="77777777" w:rsidR="001A637C" w:rsidRDefault="001A637C">
            <w:pPr>
              <w:jc w:val="center"/>
              <w:rPr>
                <w:rFonts w:ascii="Times New Roman" w:hAnsi="Times New Roman" w:cs="Times New Roman"/>
                <w:b/>
                <w:bCs/>
                <w:w w:val="105"/>
                <w:position w:val="1"/>
                <w:sz w:val="24"/>
                <w:szCs w:val="24"/>
              </w:rPr>
            </w:pPr>
          </w:p>
          <w:p w14:paraId="07EFF3B9" w14:textId="77777777" w:rsidR="001A637C" w:rsidRPr="00B8675C" w:rsidRDefault="001A637C">
            <w:pPr>
              <w:jc w:val="center"/>
              <w:rPr>
                <w:rFonts w:ascii="Times New Roman" w:hAnsi="Times New Roman" w:cs="Times New Roman"/>
                <w:b/>
                <w:bCs/>
                <w:sz w:val="24"/>
                <w:szCs w:val="24"/>
              </w:rPr>
            </w:pPr>
            <w:r w:rsidRPr="00B8675C">
              <w:rPr>
                <w:rFonts w:ascii="Times New Roman" w:hAnsi="Times New Roman" w:cs="Times New Roman"/>
                <w:b/>
                <w:bCs/>
                <w:w w:val="105"/>
                <w:position w:val="1"/>
                <w:sz w:val="24"/>
                <w:szCs w:val="24"/>
              </w:rPr>
              <w:t>PUBLIC UTILITY COMMISSION OF TEXAS</w:t>
            </w:r>
          </w:p>
        </w:tc>
      </w:tr>
    </w:tbl>
    <w:p w14:paraId="26F5FA65" w14:textId="77777777" w:rsidR="001A637C" w:rsidRDefault="001A637C" w:rsidP="001A637C">
      <w:pPr>
        <w:jc w:val="center"/>
        <w:rPr>
          <w:rFonts w:ascii="Times New Roman" w:hAnsi="Times New Roman" w:cs="Times New Roman"/>
          <w:b/>
          <w:bCs/>
          <w:sz w:val="24"/>
          <w:szCs w:val="24"/>
        </w:rPr>
      </w:pPr>
    </w:p>
    <w:p w14:paraId="4593C52A" w14:textId="618DD229" w:rsidR="001A637C" w:rsidRDefault="001A637C" w:rsidP="001A637C">
      <w:pPr>
        <w:jc w:val="center"/>
        <w:rPr>
          <w:rFonts w:ascii="Times New Roman" w:hAnsi="Times New Roman" w:cs="Times New Roman"/>
          <w:b/>
          <w:bCs/>
          <w:sz w:val="24"/>
          <w:szCs w:val="24"/>
          <w:u w:val="single"/>
        </w:rPr>
      </w:pPr>
      <w:r w:rsidRPr="00B8675C">
        <w:rPr>
          <w:rFonts w:ascii="Times New Roman" w:hAnsi="Times New Roman" w:cs="Times New Roman"/>
          <w:b/>
          <w:bCs/>
          <w:sz w:val="24"/>
          <w:szCs w:val="24"/>
          <w:u w:val="single"/>
        </w:rPr>
        <w:t xml:space="preserve">HUNT ENERGY NETWORK L.L.C. </w:t>
      </w:r>
      <w:r w:rsidR="00075988">
        <w:rPr>
          <w:rFonts w:ascii="Times New Roman" w:hAnsi="Times New Roman" w:cs="Times New Roman"/>
          <w:b/>
          <w:bCs/>
          <w:sz w:val="24"/>
          <w:szCs w:val="24"/>
          <w:u w:val="single"/>
        </w:rPr>
        <w:t xml:space="preserve">REPLY </w:t>
      </w:r>
      <w:r>
        <w:rPr>
          <w:rFonts w:ascii="Times New Roman" w:hAnsi="Times New Roman" w:cs="Times New Roman"/>
          <w:b/>
          <w:bCs/>
          <w:sz w:val="24"/>
          <w:szCs w:val="24"/>
          <w:u w:val="single"/>
        </w:rPr>
        <w:t>COMMENTS</w:t>
      </w:r>
    </w:p>
    <w:p w14:paraId="50FFB93E" w14:textId="65AF42DD" w:rsidR="001A637C" w:rsidRDefault="001A637C" w:rsidP="001A637C">
      <w:pPr>
        <w:spacing w:line="360" w:lineRule="auto"/>
        <w:ind w:firstLine="720"/>
        <w:jc w:val="both"/>
        <w:rPr>
          <w:rFonts w:ascii="Times New Roman" w:hAnsi="Times New Roman" w:cs="Times New Roman"/>
          <w:sz w:val="24"/>
          <w:szCs w:val="24"/>
        </w:rPr>
      </w:pPr>
      <w:r w:rsidRPr="00253601">
        <w:rPr>
          <w:rFonts w:ascii="Times New Roman" w:hAnsi="Times New Roman" w:cs="Times New Roman"/>
          <w:sz w:val="24"/>
          <w:szCs w:val="24"/>
        </w:rPr>
        <w:t>Hunt Energy Network, L.L.C. (</w:t>
      </w:r>
      <w:r>
        <w:rPr>
          <w:rFonts w:ascii="Times New Roman" w:hAnsi="Times New Roman" w:cs="Times New Roman"/>
          <w:sz w:val="24"/>
          <w:szCs w:val="24"/>
        </w:rPr>
        <w:t>“</w:t>
      </w:r>
      <w:r w:rsidRPr="00253601">
        <w:rPr>
          <w:rFonts w:ascii="Times New Roman" w:hAnsi="Times New Roman" w:cs="Times New Roman"/>
          <w:sz w:val="24"/>
          <w:szCs w:val="24"/>
        </w:rPr>
        <w:t>HEN</w:t>
      </w:r>
      <w:r>
        <w:rPr>
          <w:rFonts w:ascii="Times New Roman" w:hAnsi="Times New Roman" w:cs="Times New Roman"/>
          <w:sz w:val="24"/>
          <w:szCs w:val="24"/>
        </w:rPr>
        <w:t>”</w:t>
      </w:r>
      <w:r w:rsidRPr="00253601">
        <w:rPr>
          <w:rFonts w:ascii="Times New Roman" w:hAnsi="Times New Roman" w:cs="Times New Roman"/>
          <w:sz w:val="24"/>
          <w:szCs w:val="24"/>
        </w:rPr>
        <w:t xml:space="preserve">) submits the following </w:t>
      </w:r>
      <w:r w:rsidR="00075988">
        <w:rPr>
          <w:rFonts w:ascii="Times New Roman" w:hAnsi="Times New Roman" w:cs="Times New Roman"/>
          <w:sz w:val="24"/>
          <w:szCs w:val="24"/>
        </w:rPr>
        <w:t xml:space="preserve">reply </w:t>
      </w:r>
      <w:r w:rsidRPr="00253601">
        <w:rPr>
          <w:rFonts w:ascii="Times New Roman" w:hAnsi="Times New Roman" w:cs="Times New Roman"/>
          <w:sz w:val="24"/>
          <w:szCs w:val="24"/>
        </w:rPr>
        <w:t>comments in response to the Public Utility Commission of Texas (</w:t>
      </w:r>
      <w:r>
        <w:rPr>
          <w:rFonts w:ascii="Times New Roman" w:hAnsi="Times New Roman" w:cs="Times New Roman"/>
          <w:sz w:val="24"/>
          <w:szCs w:val="24"/>
        </w:rPr>
        <w:t>“</w:t>
      </w:r>
      <w:r w:rsidRPr="00253601">
        <w:rPr>
          <w:rFonts w:ascii="Times New Roman" w:hAnsi="Times New Roman" w:cs="Times New Roman"/>
          <w:sz w:val="24"/>
          <w:szCs w:val="24"/>
        </w:rPr>
        <w:t>PUCT</w:t>
      </w:r>
      <w:r>
        <w:rPr>
          <w:rFonts w:ascii="Times New Roman" w:hAnsi="Times New Roman" w:cs="Times New Roman"/>
          <w:sz w:val="24"/>
          <w:szCs w:val="24"/>
        </w:rPr>
        <w:t>”</w:t>
      </w:r>
      <w:r w:rsidRPr="00253601">
        <w:rPr>
          <w:rFonts w:ascii="Times New Roman" w:hAnsi="Times New Roman" w:cs="Times New Roman"/>
          <w:sz w:val="24"/>
          <w:szCs w:val="24"/>
        </w:rPr>
        <w:t xml:space="preserve"> or </w:t>
      </w:r>
      <w:r>
        <w:rPr>
          <w:rFonts w:ascii="Times New Roman" w:hAnsi="Times New Roman" w:cs="Times New Roman"/>
          <w:sz w:val="24"/>
          <w:szCs w:val="24"/>
        </w:rPr>
        <w:t>“</w:t>
      </w:r>
      <w:r w:rsidRPr="00253601">
        <w:rPr>
          <w:rFonts w:ascii="Times New Roman" w:hAnsi="Times New Roman" w:cs="Times New Roman"/>
          <w:sz w:val="24"/>
          <w:szCs w:val="24"/>
        </w:rPr>
        <w:t>Commission</w:t>
      </w:r>
      <w:r>
        <w:rPr>
          <w:rFonts w:ascii="Times New Roman" w:hAnsi="Times New Roman" w:cs="Times New Roman"/>
          <w:sz w:val="24"/>
          <w:szCs w:val="24"/>
        </w:rPr>
        <w:t>”</w:t>
      </w:r>
      <w:r w:rsidRPr="00253601">
        <w:rPr>
          <w:rFonts w:ascii="Times New Roman" w:hAnsi="Times New Roman" w:cs="Times New Roman"/>
          <w:sz w:val="24"/>
          <w:szCs w:val="24"/>
        </w:rPr>
        <w:t xml:space="preserve">) Staff’s request for comment on </w:t>
      </w:r>
      <w:r w:rsidR="001712A7">
        <w:rPr>
          <w:rFonts w:ascii="Times New Roman" w:hAnsi="Times New Roman" w:cs="Times New Roman"/>
          <w:sz w:val="24"/>
          <w:szCs w:val="24"/>
        </w:rPr>
        <w:t xml:space="preserve">the Cost Recovery </w:t>
      </w:r>
      <w:r w:rsidR="00C778E9">
        <w:rPr>
          <w:rFonts w:ascii="Times New Roman" w:hAnsi="Times New Roman" w:cs="Times New Roman"/>
          <w:sz w:val="24"/>
          <w:szCs w:val="24"/>
        </w:rPr>
        <w:t xml:space="preserve">for Service to Distributed Energy Resources – DER Interconnection Allowance </w:t>
      </w:r>
      <w:r w:rsidRPr="00253601">
        <w:rPr>
          <w:rFonts w:ascii="Times New Roman" w:hAnsi="Times New Roman" w:cs="Times New Roman"/>
          <w:sz w:val="24"/>
          <w:szCs w:val="24"/>
        </w:rPr>
        <w:t xml:space="preserve">dated </w:t>
      </w:r>
      <w:r w:rsidR="007C009D">
        <w:rPr>
          <w:rFonts w:ascii="Times New Roman" w:hAnsi="Times New Roman" w:cs="Times New Roman"/>
          <w:sz w:val="24"/>
          <w:szCs w:val="24"/>
        </w:rPr>
        <w:t>September</w:t>
      </w:r>
      <w:r w:rsidRPr="00253601">
        <w:rPr>
          <w:rFonts w:ascii="Times New Roman" w:hAnsi="Times New Roman" w:cs="Times New Roman"/>
          <w:sz w:val="24"/>
          <w:szCs w:val="24"/>
        </w:rPr>
        <w:t xml:space="preserve"> </w:t>
      </w:r>
      <w:r w:rsidR="007C009D">
        <w:rPr>
          <w:rFonts w:ascii="Times New Roman" w:hAnsi="Times New Roman" w:cs="Times New Roman"/>
          <w:sz w:val="24"/>
          <w:szCs w:val="24"/>
        </w:rPr>
        <w:t>9</w:t>
      </w:r>
      <w:r w:rsidRPr="00253601">
        <w:rPr>
          <w:rFonts w:ascii="Times New Roman" w:hAnsi="Times New Roman" w:cs="Times New Roman"/>
          <w:sz w:val="24"/>
          <w:szCs w:val="24"/>
        </w:rPr>
        <w:t xml:space="preserve">, 2024.  </w:t>
      </w:r>
    </w:p>
    <w:p w14:paraId="4D82F55D" w14:textId="7F010760" w:rsidR="005449B1" w:rsidRDefault="005449B1" w:rsidP="002F4346">
      <w:pPr>
        <w:spacing w:line="36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Introduction</w:t>
      </w:r>
    </w:p>
    <w:p w14:paraId="69D1A92B" w14:textId="0F56AA18" w:rsidR="00DF2846" w:rsidRDefault="00BE4813"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w:t>
      </w:r>
      <w:r w:rsidR="00B60C1E">
        <w:rPr>
          <w:rFonts w:ascii="Times New Roman" w:hAnsi="Times New Roman" w:cs="Times New Roman"/>
          <w:sz w:val="24"/>
          <w:szCs w:val="24"/>
        </w:rPr>
        <w:t xml:space="preserve">comments received by the Commission highlight that the term “distribution resource” or “DER” </w:t>
      </w:r>
      <w:r w:rsidR="00C038BE">
        <w:rPr>
          <w:rFonts w:ascii="Times New Roman" w:hAnsi="Times New Roman" w:cs="Times New Roman"/>
          <w:sz w:val="24"/>
          <w:szCs w:val="24"/>
        </w:rPr>
        <w:t>in</w:t>
      </w:r>
      <w:r w:rsidR="00EB4409">
        <w:rPr>
          <w:rFonts w:ascii="Times New Roman" w:hAnsi="Times New Roman" w:cs="Times New Roman"/>
          <w:sz w:val="24"/>
          <w:szCs w:val="24"/>
        </w:rPr>
        <w:t xml:space="preserve">cludes a broad range of </w:t>
      </w:r>
      <w:r w:rsidR="00536B4B">
        <w:rPr>
          <w:rFonts w:ascii="Times New Roman" w:hAnsi="Times New Roman" w:cs="Times New Roman"/>
          <w:sz w:val="24"/>
          <w:szCs w:val="24"/>
        </w:rPr>
        <w:t>generation and energy storage facilities, from very small</w:t>
      </w:r>
      <w:r w:rsidR="00205C79">
        <w:rPr>
          <w:rFonts w:ascii="Times New Roman" w:hAnsi="Times New Roman" w:cs="Times New Roman"/>
          <w:sz w:val="24"/>
          <w:szCs w:val="24"/>
        </w:rPr>
        <w:t xml:space="preserve"> resources co-located with retail load to large</w:t>
      </w:r>
      <w:r w:rsidR="00775765">
        <w:rPr>
          <w:rFonts w:ascii="Times New Roman" w:hAnsi="Times New Roman" w:cs="Times New Roman"/>
          <w:sz w:val="24"/>
          <w:szCs w:val="24"/>
        </w:rPr>
        <w:t>r</w:t>
      </w:r>
      <w:r w:rsidR="00205C79">
        <w:rPr>
          <w:rFonts w:ascii="Times New Roman" w:hAnsi="Times New Roman" w:cs="Times New Roman"/>
          <w:sz w:val="24"/>
          <w:szCs w:val="24"/>
        </w:rPr>
        <w:t xml:space="preserve">, stand-alone </w:t>
      </w:r>
      <w:r w:rsidR="00775765">
        <w:rPr>
          <w:rFonts w:ascii="Times New Roman" w:hAnsi="Times New Roman" w:cs="Times New Roman"/>
          <w:sz w:val="24"/>
          <w:szCs w:val="24"/>
        </w:rPr>
        <w:t>registered Resources</w:t>
      </w:r>
      <w:r w:rsidR="00DE7368">
        <w:rPr>
          <w:rFonts w:ascii="Times New Roman" w:hAnsi="Times New Roman" w:cs="Times New Roman"/>
          <w:sz w:val="24"/>
          <w:szCs w:val="24"/>
        </w:rPr>
        <w:t xml:space="preserve"> serving the ERCOT market.  </w:t>
      </w:r>
      <w:r w:rsidR="00C82770">
        <w:rPr>
          <w:rFonts w:ascii="Times New Roman" w:hAnsi="Times New Roman" w:cs="Times New Roman"/>
          <w:sz w:val="24"/>
          <w:szCs w:val="24"/>
        </w:rPr>
        <w:t xml:space="preserve">Because of this, a “one size fits all” approach </w:t>
      </w:r>
      <w:r w:rsidR="00BF1E67">
        <w:rPr>
          <w:rFonts w:ascii="Times New Roman" w:hAnsi="Times New Roman" w:cs="Times New Roman"/>
          <w:sz w:val="24"/>
          <w:szCs w:val="24"/>
        </w:rPr>
        <w:t>may be</w:t>
      </w:r>
      <w:r w:rsidR="00C82770">
        <w:rPr>
          <w:rFonts w:ascii="Times New Roman" w:hAnsi="Times New Roman" w:cs="Times New Roman"/>
          <w:sz w:val="24"/>
          <w:szCs w:val="24"/>
        </w:rPr>
        <w:t xml:space="preserve"> problematic</w:t>
      </w:r>
      <w:r w:rsidR="005226CE">
        <w:rPr>
          <w:rFonts w:ascii="Times New Roman" w:hAnsi="Times New Roman" w:cs="Times New Roman"/>
          <w:sz w:val="24"/>
          <w:szCs w:val="24"/>
        </w:rPr>
        <w:t xml:space="preserve">.  </w:t>
      </w:r>
      <w:r w:rsidR="001C6E75">
        <w:rPr>
          <w:rFonts w:ascii="Times New Roman" w:hAnsi="Times New Roman" w:cs="Times New Roman"/>
          <w:sz w:val="24"/>
          <w:szCs w:val="24"/>
        </w:rPr>
        <w:t xml:space="preserve">It makes sense to have a clear limiting factor.  </w:t>
      </w:r>
      <w:r w:rsidR="00CB758A">
        <w:rPr>
          <w:rFonts w:ascii="Times New Roman" w:hAnsi="Times New Roman" w:cs="Times New Roman"/>
          <w:sz w:val="24"/>
          <w:szCs w:val="24"/>
        </w:rPr>
        <w:t xml:space="preserve">Based upon the comments received, most parties </w:t>
      </w:r>
      <w:r w:rsidR="0019077A">
        <w:rPr>
          <w:rFonts w:ascii="Times New Roman" w:hAnsi="Times New Roman" w:cs="Times New Roman"/>
          <w:sz w:val="24"/>
          <w:szCs w:val="24"/>
        </w:rPr>
        <w:t>appear</w:t>
      </w:r>
      <w:r w:rsidR="00CB758A">
        <w:rPr>
          <w:rFonts w:ascii="Times New Roman" w:hAnsi="Times New Roman" w:cs="Times New Roman"/>
          <w:sz w:val="24"/>
          <w:szCs w:val="24"/>
        </w:rPr>
        <w:t xml:space="preserve"> to recognize that there is a difference between an ERCOT-registered Resource participating in the wholesale market </w:t>
      </w:r>
      <w:r w:rsidR="00D87069">
        <w:rPr>
          <w:rFonts w:ascii="Times New Roman" w:hAnsi="Times New Roman" w:cs="Times New Roman"/>
          <w:sz w:val="24"/>
          <w:szCs w:val="24"/>
        </w:rPr>
        <w:t>and smaller, co-located DERs</w:t>
      </w:r>
      <w:r w:rsidR="005226CE">
        <w:rPr>
          <w:rFonts w:ascii="Times New Roman" w:hAnsi="Times New Roman" w:cs="Times New Roman"/>
          <w:sz w:val="24"/>
          <w:szCs w:val="24"/>
        </w:rPr>
        <w:t>.</w:t>
      </w:r>
      <w:r w:rsidR="00775765">
        <w:rPr>
          <w:rFonts w:ascii="Times New Roman" w:hAnsi="Times New Roman" w:cs="Times New Roman"/>
          <w:sz w:val="24"/>
          <w:szCs w:val="24"/>
        </w:rPr>
        <w:t xml:space="preserve"> </w:t>
      </w:r>
      <w:r w:rsidR="00DF2846" w:rsidRPr="00AC3F17">
        <w:rPr>
          <w:rFonts w:ascii="Times New Roman" w:hAnsi="Times New Roman" w:cs="Times New Roman"/>
          <w:sz w:val="24"/>
          <w:szCs w:val="24"/>
        </w:rPr>
        <w:t>Under the ERCO</w:t>
      </w:r>
      <w:r w:rsidR="00DF2846">
        <w:rPr>
          <w:rFonts w:ascii="Times New Roman" w:hAnsi="Times New Roman" w:cs="Times New Roman"/>
          <w:sz w:val="24"/>
          <w:szCs w:val="24"/>
        </w:rPr>
        <w:t>T</w:t>
      </w:r>
      <w:r w:rsidR="00DF2846" w:rsidRPr="00AC3F17">
        <w:rPr>
          <w:rFonts w:ascii="Times New Roman" w:hAnsi="Times New Roman" w:cs="Times New Roman"/>
          <w:sz w:val="24"/>
          <w:szCs w:val="24"/>
        </w:rPr>
        <w:t xml:space="preserve"> Protocols, Distribution Generation Resources (“DGRs”) and Distribution Energy Storage Resources (“DESRs”) are</w:t>
      </w:r>
      <w:r w:rsidR="00336423">
        <w:rPr>
          <w:rFonts w:ascii="Times New Roman" w:hAnsi="Times New Roman" w:cs="Times New Roman"/>
          <w:sz w:val="24"/>
          <w:szCs w:val="24"/>
        </w:rPr>
        <w:t xml:space="preserve"> defined,</w:t>
      </w:r>
      <w:r w:rsidR="00DF2846" w:rsidRPr="00AC3F17">
        <w:rPr>
          <w:rFonts w:ascii="Times New Roman" w:hAnsi="Times New Roman" w:cs="Times New Roman"/>
          <w:sz w:val="24"/>
          <w:szCs w:val="24"/>
        </w:rPr>
        <w:t xml:space="preserve"> ERCOT-register</w:t>
      </w:r>
      <w:r w:rsidR="00DF2846">
        <w:rPr>
          <w:rFonts w:ascii="Times New Roman" w:hAnsi="Times New Roman" w:cs="Times New Roman"/>
          <w:sz w:val="24"/>
          <w:szCs w:val="24"/>
        </w:rPr>
        <w:t>e</w:t>
      </w:r>
      <w:r w:rsidR="00DF2846" w:rsidRPr="00AC3F17">
        <w:rPr>
          <w:rFonts w:ascii="Times New Roman" w:hAnsi="Times New Roman" w:cs="Times New Roman"/>
          <w:sz w:val="24"/>
          <w:szCs w:val="24"/>
        </w:rPr>
        <w:t>d Resources that are dispatched by ERCO</w:t>
      </w:r>
      <w:r w:rsidR="00DF2846">
        <w:rPr>
          <w:rFonts w:ascii="Times New Roman" w:hAnsi="Times New Roman" w:cs="Times New Roman"/>
          <w:sz w:val="24"/>
          <w:szCs w:val="24"/>
        </w:rPr>
        <w:t>T</w:t>
      </w:r>
      <w:r w:rsidR="00DF2846" w:rsidRPr="00AC3F17">
        <w:rPr>
          <w:rFonts w:ascii="Times New Roman" w:hAnsi="Times New Roman" w:cs="Times New Roman"/>
          <w:sz w:val="24"/>
          <w:szCs w:val="24"/>
        </w:rPr>
        <w:t xml:space="preserve"> through SCED, can qualify to provide ancillary services to ERCOT</w:t>
      </w:r>
      <w:r w:rsidR="00DF2846">
        <w:rPr>
          <w:rFonts w:ascii="Times New Roman" w:hAnsi="Times New Roman" w:cs="Times New Roman"/>
          <w:sz w:val="24"/>
          <w:szCs w:val="24"/>
        </w:rPr>
        <w:t>,</w:t>
      </w:r>
      <w:r w:rsidR="00DF2846" w:rsidRPr="00AC3F17">
        <w:rPr>
          <w:rFonts w:ascii="Times New Roman" w:hAnsi="Times New Roman" w:cs="Times New Roman"/>
          <w:sz w:val="24"/>
          <w:szCs w:val="24"/>
        </w:rPr>
        <w:t xml:space="preserve"> are required to follow the same operational requirements as transmission-connected Resources</w:t>
      </w:r>
      <w:r w:rsidR="00336423">
        <w:rPr>
          <w:rFonts w:ascii="Times New Roman" w:hAnsi="Times New Roman" w:cs="Times New Roman"/>
          <w:sz w:val="24"/>
          <w:szCs w:val="24"/>
        </w:rPr>
        <w:t xml:space="preserve">, and compete with these </w:t>
      </w:r>
      <w:r w:rsidR="00D15FB9">
        <w:rPr>
          <w:rFonts w:ascii="Times New Roman" w:hAnsi="Times New Roman" w:cs="Times New Roman"/>
          <w:sz w:val="24"/>
          <w:szCs w:val="24"/>
        </w:rPr>
        <w:t>Resources every day.</w:t>
      </w:r>
    </w:p>
    <w:p w14:paraId="71830185" w14:textId="408317D3" w:rsidR="002D1F37" w:rsidRDefault="005226CE"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HEN has been advocating for the last three years for a policy resolution to address the interconnection costs and process for </w:t>
      </w:r>
      <w:r w:rsidR="00D15FB9">
        <w:rPr>
          <w:rFonts w:ascii="Times New Roman" w:hAnsi="Times New Roman" w:cs="Times New Roman"/>
          <w:sz w:val="24"/>
          <w:szCs w:val="24"/>
        </w:rPr>
        <w:t xml:space="preserve">these </w:t>
      </w:r>
      <w:r>
        <w:rPr>
          <w:rFonts w:ascii="Times New Roman" w:hAnsi="Times New Roman" w:cs="Times New Roman"/>
          <w:sz w:val="24"/>
          <w:szCs w:val="24"/>
        </w:rPr>
        <w:t>larger</w:t>
      </w:r>
      <w:r w:rsidR="00062328">
        <w:rPr>
          <w:rFonts w:ascii="Times New Roman" w:hAnsi="Times New Roman" w:cs="Times New Roman"/>
          <w:sz w:val="24"/>
          <w:szCs w:val="24"/>
        </w:rPr>
        <w:t>,</w:t>
      </w:r>
      <w:r>
        <w:rPr>
          <w:rFonts w:ascii="Times New Roman" w:hAnsi="Times New Roman" w:cs="Times New Roman"/>
          <w:sz w:val="24"/>
          <w:szCs w:val="24"/>
        </w:rPr>
        <w:t xml:space="preserve"> ERCOT-registered </w:t>
      </w:r>
      <w:r w:rsidR="00062328">
        <w:rPr>
          <w:rFonts w:ascii="Times New Roman" w:hAnsi="Times New Roman" w:cs="Times New Roman"/>
          <w:sz w:val="24"/>
          <w:szCs w:val="24"/>
        </w:rPr>
        <w:t>DGR</w:t>
      </w:r>
      <w:r w:rsidR="00A54993">
        <w:rPr>
          <w:rFonts w:ascii="Times New Roman" w:hAnsi="Times New Roman" w:cs="Times New Roman"/>
          <w:sz w:val="24"/>
          <w:szCs w:val="24"/>
        </w:rPr>
        <w:t xml:space="preserve">s and </w:t>
      </w:r>
      <w:r w:rsidR="00062328">
        <w:rPr>
          <w:rFonts w:ascii="Times New Roman" w:hAnsi="Times New Roman" w:cs="Times New Roman"/>
          <w:sz w:val="24"/>
          <w:szCs w:val="24"/>
        </w:rPr>
        <w:t>DESR</w:t>
      </w:r>
      <w:r w:rsidR="00A54993">
        <w:rPr>
          <w:rFonts w:ascii="Times New Roman" w:hAnsi="Times New Roman" w:cs="Times New Roman"/>
          <w:sz w:val="24"/>
          <w:szCs w:val="24"/>
        </w:rPr>
        <w:t>s.</w:t>
      </w:r>
      <w:r w:rsidR="00790F89">
        <w:rPr>
          <w:rFonts w:ascii="Times New Roman" w:hAnsi="Times New Roman" w:cs="Times New Roman"/>
          <w:sz w:val="24"/>
          <w:szCs w:val="24"/>
        </w:rPr>
        <w:t xml:space="preserve"> HEN believes that Commissioner Glotfelty’s memo and standard interconnection allowance proposal was aimed at </w:t>
      </w:r>
      <w:r w:rsidR="00A54993">
        <w:rPr>
          <w:rFonts w:ascii="Times New Roman" w:hAnsi="Times New Roman" w:cs="Times New Roman"/>
          <w:sz w:val="24"/>
          <w:szCs w:val="24"/>
        </w:rPr>
        <w:t>this subset of DERs</w:t>
      </w:r>
      <w:r w:rsidR="00CB005D">
        <w:rPr>
          <w:rFonts w:ascii="Times New Roman" w:hAnsi="Times New Roman" w:cs="Times New Roman"/>
          <w:sz w:val="24"/>
          <w:szCs w:val="24"/>
        </w:rPr>
        <w:t>.</w:t>
      </w:r>
      <w:r w:rsidR="00511A5F" w:rsidRPr="00AC3F17">
        <w:rPr>
          <w:rFonts w:ascii="Times New Roman" w:hAnsi="Times New Roman" w:cs="Times New Roman"/>
          <w:sz w:val="24"/>
          <w:szCs w:val="24"/>
        </w:rPr>
        <w:t xml:space="preserve"> </w:t>
      </w:r>
      <w:r w:rsidR="00C62614">
        <w:rPr>
          <w:rFonts w:ascii="Times New Roman" w:hAnsi="Times New Roman" w:cs="Times New Roman"/>
          <w:sz w:val="24"/>
          <w:szCs w:val="24"/>
        </w:rPr>
        <w:t>T</w:t>
      </w:r>
      <w:r w:rsidR="00511A5F" w:rsidRPr="00AC3F17">
        <w:rPr>
          <w:rFonts w:ascii="Times New Roman" w:hAnsi="Times New Roman" w:cs="Times New Roman"/>
          <w:sz w:val="24"/>
          <w:szCs w:val="24"/>
        </w:rPr>
        <w:t xml:space="preserve">he $1.5 million interconnection allowance </w:t>
      </w:r>
      <w:r w:rsidR="00511A5F">
        <w:rPr>
          <w:rFonts w:ascii="Times New Roman" w:hAnsi="Times New Roman" w:cs="Times New Roman"/>
          <w:sz w:val="24"/>
          <w:szCs w:val="24"/>
        </w:rPr>
        <w:t>suggested by Commissioner Glotfelty is reasonable</w:t>
      </w:r>
      <w:r w:rsidR="00511A5F" w:rsidRPr="00AC3F17">
        <w:rPr>
          <w:rFonts w:ascii="Times New Roman" w:hAnsi="Times New Roman" w:cs="Times New Roman"/>
          <w:sz w:val="24"/>
          <w:szCs w:val="24"/>
        </w:rPr>
        <w:t xml:space="preserve"> </w:t>
      </w:r>
      <w:r w:rsidR="00D7677B">
        <w:rPr>
          <w:rFonts w:ascii="Times New Roman" w:hAnsi="Times New Roman" w:cs="Times New Roman"/>
          <w:sz w:val="24"/>
          <w:szCs w:val="24"/>
        </w:rPr>
        <w:t xml:space="preserve">for DGRs/DESRs </w:t>
      </w:r>
      <w:r w:rsidR="00511A5F">
        <w:rPr>
          <w:rFonts w:ascii="Times New Roman" w:hAnsi="Times New Roman" w:cs="Times New Roman"/>
          <w:sz w:val="24"/>
          <w:szCs w:val="24"/>
        </w:rPr>
        <w:t>and provides comparable treatment for all ERCOT-registered, SCED-dispatched Resources, regardless of interconnection voltage.</w:t>
      </w:r>
      <w:r w:rsidR="00511A5F" w:rsidRPr="00AC3F17">
        <w:rPr>
          <w:rFonts w:ascii="Times New Roman" w:hAnsi="Times New Roman" w:cs="Times New Roman"/>
          <w:sz w:val="24"/>
          <w:szCs w:val="24"/>
        </w:rPr>
        <w:t xml:space="preserve"> </w:t>
      </w:r>
      <w:r w:rsidR="00511A5F">
        <w:rPr>
          <w:rFonts w:ascii="Times New Roman" w:hAnsi="Times New Roman" w:cs="Times New Roman"/>
          <w:sz w:val="24"/>
          <w:szCs w:val="24"/>
        </w:rPr>
        <w:t xml:space="preserve"> HEN</w:t>
      </w:r>
      <w:r w:rsidR="008402C4">
        <w:rPr>
          <w:rFonts w:ascii="Times New Roman" w:hAnsi="Times New Roman" w:cs="Times New Roman"/>
          <w:sz w:val="24"/>
          <w:szCs w:val="24"/>
        </w:rPr>
        <w:t xml:space="preserve"> supports the</w:t>
      </w:r>
      <w:r w:rsidR="00511A5F">
        <w:rPr>
          <w:rFonts w:ascii="Times New Roman" w:hAnsi="Times New Roman" w:cs="Times New Roman"/>
          <w:sz w:val="24"/>
          <w:szCs w:val="24"/>
        </w:rPr>
        <w:t xml:space="preserve"> $1.5M standard interconnection allowance for these Resources</w:t>
      </w:r>
      <w:r w:rsidR="00A54993">
        <w:rPr>
          <w:rFonts w:ascii="Times New Roman" w:hAnsi="Times New Roman" w:cs="Times New Roman"/>
          <w:sz w:val="24"/>
          <w:szCs w:val="24"/>
        </w:rPr>
        <w:t>,</w:t>
      </w:r>
      <w:r w:rsidR="00790F89">
        <w:rPr>
          <w:rFonts w:ascii="Times New Roman" w:hAnsi="Times New Roman" w:cs="Times New Roman"/>
          <w:sz w:val="24"/>
          <w:szCs w:val="24"/>
        </w:rPr>
        <w:t xml:space="preserve"> </w:t>
      </w:r>
      <w:r>
        <w:rPr>
          <w:rFonts w:ascii="Times New Roman" w:hAnsi="Times New Roman" w:cs="Times New Roman"/>
          <w:sz w:val="24"/>
          <w:szCs w:val="24"/>
        </w:rPr>
        <w:t xml:space="preserve">and urges the Commission to, at a minimum, </w:t>
      </w:r>
      <w:r w:rsidR="004B49C7">
        <w:rPr>
          <w:rFonts w:ascii="Times New Roman" w:hAnsi="Times New Roman" w:cs="Times New Roman"/>
          <w:sz w:val="24"/>
          <w:szCs w:val="24"/>
        </w:rPr>
        <w:t xml:space="preserve">promptly </w:t>
      </w:r>
      <w:r>
        <w:rPr>
          <w:rFonts w:ascii="Times New Roman" w:hAnsi="Times New Roman" w:cs="Times New Roman"/>
          <w:sz w:val="24"/>
          <w:szCs w:val="24"/>
        </w:rPr>
        <w:t>resolve the cost recovery issues for these Resources</w:t>
      </w:r>
      <w:r w:rsidR="00F616A4">
        <w:rPr>
          <w:rFonts w:ascii="Times New Roman" w:hAnsi="Times New Roman" w:cs="Times New Roman"/>
          <w:sz w:val="24"/>
          <w:szCs w:val="24"/>
        </w:rPr>
        <w:t>, who have been actively seeking a policy resolution for several years</w:t>
      </w:r>
      <w:r w:rsidR="00790F89">
        <w:rPr>
          <w:rFonts w:ascii="Times New Roman" w:hAnsi="Times New Roman" w:cs="Times New Roman"/>
          <w:sz w:val="24"/>
          <w:szCs w:val="24"/>
        </w:rPr>
        <w:t>.</w:t>
      </w:r>
      <w:r>
        <w:rPr>
          <w:rFonts w:ascii="Times New Roman" w:hAnsi="Times New Roman" w:cs="Times New Roman"/>
          <w:sz w:val="24"/>
          <w:szCs w:val="24"/>
        </w:rPr>
        <w:t xml:space="preserve"> </w:t>
      </w:r>
    </w:p>
    <w:p w14:paraId="20492065" w14:textId="097CDF78" w:rsidR="00C3632D" w:rsidRDefault="004B49C7"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HEN also appreciates that smaller DERs and co-located DERs are facing interconnection </w:t>
      </w:r>
      <w:r w:rsidR="002D1F37">
        <w:rPr>
          <w:rFonts w:ascii="Times New Roman" w:hAnsi="Times New Roman" w:cs="Times New Roman"/>
          <w:sz w:val="24"/>
          <w:szCs w:val="24"/>
        </w:rPr>
        <w:t xml:space="preserve">challenges, </w:t>
      </w:r>
      <w:r w:rsidR="001C6E75">
        <w:rPr>
          <w:rFonts w:ascii="Times New Roman" w:hAnsi="Times New Roman" w:cs="Times New Roman"/>
          <w:sz w:val="24"/>
          <w:szCs w:val="24"/>
        </w:rPr>
        <w:t>such as</w:t>
      </w:r>
      <w:r w:rsidR="002D1F37">
        <w:rPr>
          <w:rFonts w:ascii="Times New Roman" w:hAnsi="Times New Roman" w:cs="Times New Roman"/>
          <w:sz w:val="24"/>
          <w:szCs w:val="24"/>
        </w:rPr>
        <w:t xml:space="preserve"> interconnection processes</w:t>
      </w:r>
      <w:r w:rsidR="003D4A97">
        <w:rPr>
          <w:rFonts w:ascii="Times New Roman" w:hAnsi="Times New Roman" w:cs="Times New Roman"/>
          <w:sz w:val="24"/>
          <w:szCs w:val="24"/>
        </w:rPr>
        <w:t xml:space="preserve"> and</w:t>
      </w:r>
      <w:r w:rsidR="002D1F37">
        <w:rPr>
          <w:rFonts w:ascii="Times New Roman" w:hAnsi="Times New Roman" w:cs="Times New Roman"/>
          <w:sz w:val="24"/>
          <w:szCs w:val="24"/>
        </w:rPr>
        <w:t xml:space="preserve"> </w:t>
      </w:r>
      <w:r w:rsidR="0029526E">
        <w:rPr>
          <w:rFonts w:ascii="Times New Roman" w:hAnsi="Times New Roman" w:cs="Times New Roman"/>
          <w:sz w:val="24"/>
          <w:szCs w:val="24"/>
        </w:rPr>
        <w:t xml:space="preserve">equipment requirements that vary </w:t>
      </w:r>
      <w:r w:rsidR="00704D4F">
        <w:rPr>
          <w:rFonts w:ascii="Times New Roman" w:hAnsi="Times New Roman" w:cs="Times New Roman"/>
          <w:sz w:val="24"/>
          <w:szCs w:val="24"/>
        </w:rPr>
        <w:t>by</w:t>
      </w:r>
      <w:r w:rsidR="0029526E">
        <w:rPr>
          <w:rFonts w:ascii="Times New Roman" w:hAnsi="Times New Roman" w:cs="Times New Roman"/>
          <w:sz w:val="24"/>
          <w:szCs w:val="24"/>
        </w:rPr>
        <w:t xml:space="preserve"> utility, including variations that </w:t>
      </w:r>
      <w:r w:rsidR="00CE61D1">
        <w:rPr>
          <w:rFonts w:ascii="Times New Roman" w:hAnsi="Times New Roman" w:cs="Times New Roman"/>
          <w:sz w:val="24"/>
          <w:szCs w:val="24"/>
        </w:rPr>
        <w:t xml:space="preserve">have </w:t>
      </w:r>
      <w:r w:rsidR="0029526E">
        <w:rPr>
          <w:rFonts w:ascii="Times New Roman" w:hAnsi="Times New Roman" w:cs="Times New Roman"/>
          <w:sz w:val="24"/>
          <w:szCs w:val="24"/>
        </w:rPr>
        <w:t>significant cost</w:t>
      </w:r>
      <w:r w:rsidR="00B326B7">
        <w:rPr>
          <w:rFonts w:ascii="Times New Roman" w:hAnsi="Times New Roman" w:cs="Times New Roman"/>
          <w:sz w:val="24"/>
          <w:szCs w:val="24"/>
        </w:rPr>
        <w:t xml:space="preserve"> impacts</w:t>
      </w:r>
      <w:r w:rsidR="00DB6553">
        <w:rPr>
          <w:rFonts w:ascii="Times New Roman" w:hAnsi="Times New Roman" w:cs="Times New Roman"/>
          <w:sz w:val="24"/>
          <w:szCs w:val="24"/>
        </w:rPr>
        <w:t xml:space="preserve"> for the DER</w:t>
      </w:r>
      <w:r w:rsidR="00B326B7">
        <w:rPr>
          <w:rFonts w:ascii="Times New Roman" w:hAnsi="Times New Roman" w:cs="Times New Roman"/>
          <w:sz w:val="24"/>
          <w:szCs w:val="24"/>
        </w:rPr>
        <w:t xml:space="preserve">. </w:t>
      </w:r>
      <w:r w:rsidR="00DB6553">
        <w:rPr>
          <w:rFonts w:ascii="Times New Roman" w:hAnsi="Times New Roman" w:cs="Times New Roman"/>
          <w:sz w:val="24"/>
          <w:szCs w:val="24"/>
        </w:rPr>
        <w:t xml:space="preserve">As an example, </w:t>
      </w:r>
      <w:r w:rsidR="0024505D">
        <w:rPr>
          <w:rFonts w:ascii="Times New Roman" w:hAnsi="Times New Roman" w:cs="Times New Roman"/>
          <w:sz w:val="24"/>
          <w:szCs w:val="24"/>
        </w:rPr>
        <w:t xml:space="preserve">Grid </w:t>
      </w:r>
      <w:r w:rsidR="00E06BEB">
        <w:rPr>
          <w:rFonts w:ascii="Times New Roman" w:hAnsi="Times New Roman" w:cs="Times New Roman"/>
          <w:sz w:val="24"/>
          <w:szCs w:val="24"/>
        </w:rPr>
        <w:t>Resilience in Texas (“</w:t>
      </w:r>
      <w:r w:rsidR="00CE61D1">
        <w:rPr>
          <w:rFonts w:ascii="Times New Roman" w:hAnsi="Times New Roman" w:cs="Times New Roman"/>
          <w:sz w:val="24"/>
          <w:szCs w:val="24"/>
        </w:rPr>
        <w:t>GRIT</w:t>
      </w:r>
      <w:r w:rsidR="00E06BEB">
        <w:rPr>
          <w:rFonts w:ascii="Times New Roman" w:hAnsi="Times New Roman" w:cs="Times New Roman"/>
          <w:sz w:val="24"/>
          <w:szCs w:val="24"/>
        </w:rPr>
        <w:t>”)</w:t>
      </w:r>
      <w:r w:rsidR="00CE61D1">
        <w:rPr>
          <w:rFonts w:ascii="Times New Roman" w:hAnsi="Times New Roman" w:cs="Times New Roman"/>
          <w:sz w:val="24"/>
          <w:szCs w:val="24"/>
        </w:rPr>
        <w:t xml:space="preserve"> highlighted this in their discussion of varying Transfer Trip requirements.</w:t>
      </w:r>
      <w:r w:rsidR="00E05958">
        <w:rPr>
          <w:rStyle w:val="FootnoteReference"/>
          <w:rFonts w:ascii="Times New Roman" w:hAnsi="Times New Roman" w:cs="Times New Roman"/>
          <w:sz w:val="24"/>
          <w:szCs w:val="24"/>
        </w:rPr>
        <w:footnoteReference w:id="2"/>
      </w:r>
      <w:r w:rsidR="00CE61D1">
        <w:rPr>
          <w:rFonts w:ascii="Times New Roman" w:hAnsi="Times New Roman" w:cs="Times New Roman"/>
          <w:sz w:val="24"/>
          <w:szCs w:val="24"/>
        </w:rPr>
        <w:t xml:space="preserve">  These are also important issues that deserve the Commission’s consideration</w:t>
      </w:r>
      <w:r w:rsidR="00E05958">
        <w:rPr>
          <w:rFonts w:ascii="Times New Roman" w:hAnsi="Times New Roman" w:cs="Times New Roman"/>
          <w:sz w:val="24"/>
          <w:szCs w:val="24"/>
        </w:rPr>
        <w:t xml:space="preserve">, but that may require </w:t>
      </w:r>
      <w:r w:rsidR="004163BB">
        <w:rPr>
          <w:rFonts w:ascii="Times New Roman" w:hAnsi="Times New Roman" w:cs="Times New Roman"/>
          <w:sz w:val="24"/>
          <w:szCs w:val="24"/>
        </w:rPr>
        <w:t xml:space="preserve">a different </w:t>
      </w:r>
      <w:r w:rsidR="00B27020">
        <w:rPr>
          <w:rFonts w:ascii="Times New Roman" w:hAnsi="Times New Roman" w:cs="Times New Roman"/>
          <w:sz w:val="24"/>
          <w:szCs w:val="24"/>
        </w:rPr>
        <w:t xml:space="preserve">policy </w:t>
      </w:r>
      <w:r w:rsidR="004163BB">
        <w:rPr>
          <w:rFonts w:ascii="Times New Roman" w:hAnsi="Times New Roman" w:cs="Times New Roman"/>
          <w:sz w:val="24"/>
          <w:szCs w:val="24"/>
        </w:rPr>
        <w:t>approach</w:t>
      </w:r>
      <w:r w:rsidR="00035791">
        <w:rPr>
          <w:rFonts w:ascii="Times New Roman" w:hAnsi="Times New Roman" w:cs="Times New Roman"/>
          <w:sz w:val="24"/>
          <w:szCs w:val="24"/>
        </w:rPr>
        <w:t>,</w:t>
      </w:r>
      <w:r w:rsidR="00DA791E">
        <w:rPr>
          <w:rFonts w:ascii="Times New Roman" w:hAnsi="Times New Roman" w:cs="Times New Roman"/>
          <w:sz w:val="24"/>
          <w:szCs w:val="24"/>
        </w:rPr>
        <w:t xml:space="preserve"> setting a different interconnection allowance amount</w:t>
      </w:r>
      <w:r w:rsidR="00035791">
        <w:rPr>
          <w:rFonts w:ascii="Times New Roman" w:hAnsi="Times New Roman" w:cs="Times New Roman"/>
          <w:sz w:val="24"/>
          <w:szCs w:val="24"/>
        </w:rPr>
        <w:t xml:space="preserve">, or </w:t>
      </w:r>
      <w:r w:rsidR="001C6E75">
        <w:rPr>
          <w:rFonts w:ascii="Times New Roman" w:hAnsi="Times New Roman" w:cs="Times New Roman"/>
          <w:sz w:val="24"/>
          <w:szCs w:val="24"/>
        </w:rPr>
        <w:t>addre</w:t>
      </w:r>
      <w:r w:rsidR="00035791">
        <w:rPr>
          <w:rFonts w:ascii="Times New Roman" w:hAnsi="Times New Roman" w:cs="Times New Roman"/>
          <w:sz w:val="24"/>
          <w:szCs w:val="24"/>
        </w:rPr>
        <w:t>ssing with interested stakeholders through the Aggregated Distributed Energy Resource (“ADER”) process</w:t>
      </w:r>
      <w:r w:rsidR="00DA791E">
        <w:rPr>
          <w:rFonts w:ascii="Times New Roman" w:hAnsi="Times New Roman" w:cs="Times New Roman"/>
          <w:sz w:val="24"/>
          <w:szCs w:val="24"/>
        </w:rPr>
        <w:t>.</w:t>
      </w:r>
      <w:r w:rsidR="00F616A4">
        <w:rPr>
          <w:rFonts w:ascii="Times New Roman" w:hAnsi="Times New Roman" w:cs="Times New Roman"/>
          <w:sz w:val="24"/>
          <w:szCs w:val="24"/>
        </w:rPr>
        <w:t xml:space="preserve">  </w:t>
      </w:r>
    </w:p>
    <w:p w14:paraId="622084A0" w14:textId="5E7B14D7" w:rsidR="00A8063E" w:rsidRDefault="00F616A4"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HEN therefore suggests that the Commission move forward </w:t>
      </w:r>
      <w:r w:rsidR="00E35A64">
        <w:rPr>
          <w:rFonts w:ascii="Times New Roman" w:hAnsi="Times New Roman" w:cs="Times New Roman"/>
          <w:sz w:val="24"/>
          <w:szCs w:val="24"/>
        </w:rPr>
        <w:t>now to resolve the cost recovery issues for the</w:t>
      </w:r>
      <w:r w:rsidR="00035791">
        <w:rPr>
          <w:rFonts w:ascii="Times New Roman" w:hAnsi="Times New Roman" w:cs="Times New Roman"/>
          <w:sz w:val="24"/>
          <w:szCs w:val="24"/>
        </w:rPr>
        <w:t>se</w:t>
      </w:r>
      <w:r w:rsidR="00E35A64">
        <w:rPr>
          <w:rFonts w:ascii="Times New Roman" w:hAnsi="Times New Roman" w:cs="Times New Roman"/>
          <w:sz w:val="24"/>
          <w:szCs w:val="24"/>
        </w:rPr>
        <w:t xml:space="preserve"> larger</w:t>
      </w:r>
      <w:r w:rsidR="00035791">
        <w:rPr>
          <w:rFonts w:ascii="Times New Roman" w:hAnsi="Times New Roman" w:cs="Times New Roman"/>
          <w:sz w:val="24"/>
          <w:szCs w:val="24"/>
        </w:rPr>
        <w:t>, market</w:t>
      </w:r>
      <w:r w:rsidR="00763A57">
        <w:rPr>
          <w:rFonts w:ascii="Times New Roman" w:hAnsi="Times New Roman" w:cs="Times New Roman"/>
          <w:sz w:val="24"/>
          <w:szCs w:val="24"/>
        </w:rPr>
        <w:t>-</w:t>
      </w:r>
      <w:r w:rsidR="008D3D33">
        <w:rPr>
          <w:rFonts w:ascii="Times New Roman" w:hAnsi="Times New Roman" w:cs="Times New Roman"/>
          <w:sz w:val="24"/>
          <w:szCs w:val="24"/>
        </w:rPr>
        <w:t xml:space="preserve">facing </w:t>
      </w:r>
      <w:r w:rsidR="00E35A64">
        <w:rPr>
          <w:rFonts w:ascii="Times New Roman" w:hAnsi="Times New Roman" w:cs="Times New Roman"/>
          <w:sz w:val="24"/>
          <w:szCs w:val="24"/>
        </w:rPr>
        <w:t>Resources</w:t>
      </w:r>
      <w:r w:rsidR="00693385">
        <w:rPr>
          <w:rFonts w:ascii="Times New Roman" w:hAnsi="Times New Roman" w:cs="Times New Roman"/>
          <w:sz w:val="24"/>
          <w:szCs w:val="24"/>
        </w:rPr>
        <w:t xml:space="preserve"> and continue the rulemaking process to further flesh out the appropriate policies for the smaller </w:t>
      </w:r>
      <w:r w:rsidR="00D6642B">
        <w:rPr>
          <w:rFonts w:ascii="Times New Roman" w:hAnsi="Times New Roman" w:cs="Times New Roman"/>
          <w:sz w:val="24"/>
          <w:szCs w:val="24"/>
        </w:rPr>
        <w:t>DERs</w:t>
      </w:r>
      <w:r w:rsidR="00A92AC1">
        <w:rPr>
          <w:rFonts w:ascii="Times New Roman" w:hAnsi="Times New Roman" w:cs="Times New Roman"/>
          <w:sz w:val="24"/>
          <w:szCs w:val="24"/>
        </w:rPr>
        <w:t>.</w:t>
      </w:r>
      <w:r w:rsidR="00C3632D">
        <w:rPr>
          <w:rFonts w:ascii="Times New Roman" w:hAnsi="Times New Roman" w:cs="Times New Roman"/>
          <w:sz w:val="24"/>
          <w:szCs w:val="24"/>
        </w:rPr>
        <w:t xml:space="preserve"> </w:t>
      </w:r>
      <w:r w:rsidR="00A8063E">
        <w:rPr>
          <w:rFonts w:ascii="Times New Roman" w:hAnsi="Times New Roman" w:cs="Times New Roman"/>
          <w:sz w:val="24"/>
          <w:szCs w:val="24"/>
        </w:rPr>
        <w:t xml:space="preserve">HEN </w:t>
      </w:r>
      <w:r w:rsidR="002C1AD8">
        <w:rPr>
          <w:rFonts w:ascii="Times New Roman" w:hAnsi="Times New Roman" w:cs="Times New Roman"/>
          <w:sz w:val="24"/>
          <w:szCs w:val="24"/>
        </w:rPr>
        <w:t xml:space="preserve">responds </w:t>
      </w:r>
      <w:r w:rsidR="00B41920">
        <w:rPr>
          <w:rFonts w:ascii="Times New Roman" w:hAnsi="Times New Roman" w:cs="Times New Roman"/>
          <w:sz w:val="24"/>
          <w:szCs w:val="24"/>
        </w:rPr>
        <w:t xml:space="preserve">below to </w:t>
      </w:r>
      <w:r w:rsidR="00490523">
        <w:rPr>
          <w:rFonts w:ascii="Times New Roman" w:hAnsi="Times New Roman" w:cs="Times New Roman"/>
          <w:sz w:val="24"/>
          <w:szCs w:val="24"/>
        </w:rPr>
        <w:t xml:space="preserve">the comments of other parties to the Commission’s questions. </w:t>
      </w:r>
    </w:p>
    <w:p w14:paraId="68567A94" w14:textId="77777777" w:rsidR="00F53B16" w:rsidRDefault="00F53B16" w:rsidP="00F53B16">
      <w:pPr>
        <w:spacing w:line="36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Responses to Questions</w:t>
      </w:r>
    </w:p>
    <w:p w14:paraId="58A95F73" w14:textId="77777777" w:rsidR="00F53B16" w:rsidRPr="00A91548" w:rsidRDefault="00F53B16" w:rsidP="00F53B16">
      <w:pPr>
        <w:spacing w:line="360" w:lineRule="auto"/>
        <w:jc w:val="both"/>
        <w:rPr>
          <w:rFonts w:ascii="Times New Roman" w:hAnsi="Times New Roman" w:cs="Times New Roman"/>
          <w:b/>
          <w:bCs/>
          <w:i/>
          <w:iCs/>
          <w:sz w:val="24"/>
          <w:szCs w:val="24"/>
        </w:rPr>
      </w:pPr>
      <w:r w:rsidRPr="00A91548">
        <w:rPr>
          <w:rFonts w:ascii="Times New Roman" w:hAnsi="Times New Roman" w:cs="Times New Roman"/>
          <w:b/>
          <w:bCs/>
          <w:i/>
          <w:iCs/>
          <w:sz w:val="24"/>
          <w:szCs w:val="24"/>
        </w:rPr>
        <w:t xml:space="preserve">Question 1: Can the Commission implement the proposed standard distribution resource interconnection allowance without explicit statutory language authorizing such an allowance? </w:t>
      </w:r>
    </w:p>
    <w:p w14:paraId="417C0F0F" w14:textId="67B62524" w:rsidR="00717DD2" w:rsidRDefault="00717DD2" w:rsidP="00717DD2">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PURA §§35.001-35.006 establish</w:t>
      </w:r>
      <w:r w:rsidR="009F4017">
        <w:rPr>
          <w:rFonts w:ascii="Times New Roman" w:hAnsi="Times New Roman" w:cs="Times New Roman"/>
          <w:sz w:val="24"/>
          <w:szCs w:val="24"/>
        </w:rPr>
        <w:t>es</w:t>
      </w:r>
      <w:r>
        <w:rPr>
          <w:rFonts w:ascii="Times New Roman" w:hAnsi="Times New Roman" w:cs="Times New Roman"/>
          <w:sz w:val="24"/>
          <w:szCs w:val="24"/>
        </w:rPr>
        <w:t xml:space="preserve"> the statutory authority for the Commission to set the terms and conditions for non-discriminatory open transmission access for all transmission service customers.  Several commenters suggested that these provision</w:t>
      </w:r>
      <w:r w:rsidR="00F40BDE">
        <w:rPr>
          <w:rFonts w:ascii="Times New Roman" w:hAnsi="Times New Roman" w:cs="Times New Roman"/>
          <w:sz w:val="24"/>
          <w:szCs w:val="24"/>
        </w:rPr>
        <w:t>s</w:t>
      </w:r>
      <w:r>
        <w:rPr>
          <w:rFonts w:ascii="Times New Roman" w:hAnsi="Times New Roman" w:cs="Times New Roman"/>
          <w:sz w:val="24"/>
          <w:szCs w:val="24"/>
        </w:rPr>
        <w:t xml:space="preserve"> apply only to service at transmission voltage, and the obligation to ensure comparable access does not extend to the distribution system, or to electric cooperatives and municipally-owned utilities.  This interpretation is inconsistent with the statutory provisions, however.</w:t>
      </w:r>
    </w:p>
    <w:p w14:paraId="2D6455E7" w14:textId="4A085925" w:rsidR="00954C5B" w:rsidRDefault="00AC3F17"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Importantly, the word “transmission” </w:t>
      </w:r>
      <w:r w:rsidR="00192A6B">
        <w:rPr>
          <w:rFonts w:ascii="Times New Roman" w:hAnsi="Times New Roman" w:cs="Times New Roman"/>
          <w:sz w:val="24"/>
          <w:szCs w:val="24"/>
        </w:rPr>
        <w:t xml:space="preserve">has two meanings.  It can describe the </w:t>
      </w:r>
      <w:r w:rsidR="007A5574">
        <w:rPr>
          <w:rFonts w:ascii="Times New Roman" w:hAnsi="Times New Roman" w:cs="Times New Roman"/>
          <w:sz w:val="24"/>
          <w:szCs w:val="24"/>
        </w:rPr>
        <w:t xml:space="preserve">service </w:t>
      </w:r>
      <w:r w:rsidR="00192A6B">
        <w:rPr>
          <w:rFonts w:ascii="Times New Roman" w:hAnsi="Times New Roman" w:cs="Times New Roman"/>
          <w:sz w:val="24"/>
          <w:szCs w:val="24"/>
        </w:rPr>
        <w:t>voltage</w:t>
      </w:r>
      <w:r w:rsidR="00223860">
        <w:rPr>
          <w:rFonts w:ascii="Times New Roman" w:hAnsi="Times New Roman" w:cs="Times New Roman"/>
          <w:sz w:val="24"/>
          <w:szCs w:val="24"/>
        </w:rPr>
        <w:t>, but</w:t>
      </w:r>
      <w:r w:rsidR="00192A6B">
        <w:rPr>
          <w:rFonts w:ascii="Times New Roman" w:hAnsi="Times New Roman" w:cs="Times New Roman"/>
          <w:sz w:val="24"/>
          <w:szCs w:val="24"/>
        </w:rPr>
        <w:t xml:space="preserve"> </w:t>
      </w:r>
      <w:r w:rsidR="00223860">
        <w:rPr>
          <w:rFonts w:ascii="Times New Roman" w:hAnsi="Times New Roman" w:cs="Times New Roman"/>
          <w:sz w:val="24"/>
          <w:szCs w:val="24"/>
        </w:rPr>
        <w:t xml:space="preserve">also </w:t>
      </w:r>
      <w:r w:rsidR="001E6860">
        <w:rPr>
          <w:rFonts w:ascii="Times New Roman" w:hAnsi="Times New Roman" w:cs="Times New Roman"/>
          <w:sz w:val="24"/>
          <w:szCs w:val="24"/>
        </w:rPr>
        <w:t>refer</w:t>
      </w:r>
      <w:r w:rsidR="00AE0645">
        <w:rPr>
          <w:rFonts w:ascii="Times New Roman" w:hAnsi="Times New Roman" w:cs="Times New Roman"/>
          <w:sz w:val="24"/>
          <w:szCs w:val="24"/>
        </w:rPr>
        <w:t>s</w:t>
      </w:r>
      <w:r w:rsidR="001E6860">
        <w:rPr>
          <w:rFonts w:ascii="Times New Roman" w:hAnsi="Times New Roman" w:cs="Times New Roman"/>
          <w:sz w:val="24"/>
          <w:szCs w:val="24"/>
        </w:rPr>
        <w:t xml:space="preserve"> to</w:t>
      </w:r>
      <w:r w:rsidR="00192A6B">
        <w:rPr>
          <w:rFonts w:ascii="Times New Roman" w:hAnsi="Times New Roman" w:cs="Times New Roman"/>
          <w:sz w:val="24"/>
          <w:szCs w:val="24"/>
        </w:rPr>
        <w:t xml:space="preserve"> the type of service (i.e. delivery </w:t>
      </w:r>
      <w:r w:rsidR="00223860">
        <w:rPr>
          <w:rFonts w:ascii="Times New Roman" w:hAnsi="Times New Roman" w:cs="Times New Roman"/>
          <w:sz w:val="24"/>
          <w:szCs w:val="24"/>
        </w:rPr>
        <w:t>(</w:t>
      </w:r>
      <w:r w:rsidR="00192A6B">
        <w:rPr>
          <w:rFonts w:ascii="Times New Roman" w:hAnsi="Times New Roman" w:cs="Times New Roman"/>
          <w:sz w:val="24"/>
          <w:szCs w:val="24"/>
        </w:rPr>
        <w:t>transmission</w:t>
      </w:r>
      <w:r w:rsidR="00223860">
        <w:rPr>
          <w:rFonts w:ascii="Times New Roman" w:hAnsi="Times New Roman" w:cs="Times New Roman"/>
          <w:sz w:val="24"/>
          <w:szCs w:val="24"/>
        </w:rPr>
        <w:t>)</w:t>
      </w:r>
      <w:r w:rsidR="00192A6B">
        <w:rPr>
          <w:rFonts w:ascii="Times New Roman" w:hAnsi="Times New Roman" w:cs="Times New Roman"/>
          <w:sz w:val="24"/>
          <w:szCs w:val="24"/>
        </w:rPr>
        <w:t xml:space="preserve"> of power)</w:t>
      </w:r>
      <w:r>
        <w:rPr>
          <w:rFonts w:ascii="Times New Roman" w:hAnsi="Times New Roman" w:cs="Times New Roman"/>
          <w:sz w:val="24"/>
          <w:szCs w:val="24"/>
        </w:rPr>
        <w:t xml:space="preserve">.  The definition of “transmission service” in both PURA and the Commission’s rules makes it clear that the word is </w:t>
      </w:r>
      <w:r w:rsidR="00192A6B">
        <w:rPr>
          <w:rFonts w:ascii="Times New Roman" w:hAnsi="Times New Roman" w:cs="Times New Roman"/>
          <w:sz w:val="24"/>
          <w:szCs w:val="24"/>
        </w:rPr>
        <w:t xml:space="preserve">used to describe the wholesale delivery of power, not the voltage at which the power is being delivered.  16 TAC §25.5(139) states that “transmission service” is service that allows a transmission service customer “to use the transmission </w:t>
      </w:r>
      <w:r w:rsidR="00192A6B" w:rsidRPr="00192A6B">
        <w:rPr>
          <w:rFonts w:ascii="Times New Roman" w:hAnsi="Times New Roman" w:cs="Times New Roman"/>
          <w:b/>
          <w:bCs/>
          <w:sz w:val="24"/>
          <w:szCs w:val="24"/>
        </w:rPr>
        <w:t>and distribution facilities</w:t>
      </w:r>
      <w:r w:rsidR="00192A6B">
        <w:rPr>
          <w:rFonts w:ascii="Times New Roman" w:hAnsi="Times New Roman" w:cs="Times New Roman"/>
          <w:sz w:val="24"/>
          <w:szCs w:val="24"/>
        </w:rPr>
        <w:t xml:space="preserve"> of electric utilities, electric cooperatives, and </w:t>
      </w:r>
      <w:proofErr w:type="gramStart"/>
      <w:r w:rsidR="00192A6B">
        <w:rPr>
          <w:rFonts w:ascii="Times New Roman" w:hAnsi="Times New Roman" w:cs="Times New Roman"/>
          <w:sz w:val="24"/>
          <w:szCs w:val="24"/>
        </w:rPr>
        <w:t>municipally-owned</w:t>
      </w:r>
      <w:proofErr w:type="gramEnd"/>
      <w:r w:rsidR="00192A6B">
        <w:rPr>
          <w:rFonts w:ascii="Times New Roman" w:hAnsi="Times New Roman" w:cs="Times New Roman"/>
          <w:sz w:val="24"/>
          <w:szCs w:val="24"/>
        </w:rPr>
        <w:t xml:space="preserve"> utilities” to serve load, including “transmission </w:t>
      </w:r>
      <w:r w:rsidR="00192A6B" w:rsidRPr="00192A6B">
        <w:rPr>
          <w:rFonts w:ascii="Times New Roman" w:hAnsi="Times New Roman" w:cs="Times New Roman"/>
          <w:b/>
          <w:bCs/>
          <w:sz w:val="24"/>
          <w:szCs w:val="24"/>
        </w:rPr>
        <w:t>over distribution facilities</w:t>
      </w:r>
      <w:r w:rsidR="00192A6B">
        <w:rPr>
          <w:rFonts w:ascii="Times New Roman" w:hAnsi="Times New Roman" w:cs="Times New Roman"/>
          <w:sz w:val="24"/>
          <w:szCs w:val="24"/>
        </w:rPr>
        <w:t>.”</w:t>
      </w:r>
      <w:r w:rsidR="00515A3C">
        <w:rPr>
          <w:rStyle w:val="FootnoteReference"/>
          <w:rFonts w:ascii="Times New Roman" w:hAnsi="Times New Roman" w:cs="Times New Roman"/>
          <w:sz w:val="24"/>
          <w:szCs w:val="24"/>
        </w:rPr>
        <w:footnoteReference w:id="3"/>
      </w:r>
      <w:r w:rsidR="00192A6B">
        <w:rPr>
          <w:rFonts w:ascii="Times New Roman" w:hAnsi="Times New Roman" w:cs="Times New Roman"/>
          <w:sz w:val="24"/>
          <w:szCs w:val="24"/>
        </w:rPr>
        <w:t xml:space="preserve"> (Emphasis added)</w:t>
      </w:r>
      <w:r w:rsidR="0032617F">
        <w:rPr>
          <w:rFonts w:ascii="Times New Roman" w:hAnsi="Times New Roman" w:cs="Times New Roman"/>
          <w:sz w:val="24"/>
          <w:szCs w:val="24"/>
        </w:rPr>
        <w:t>.</w:t>
      </w:r>
      <w:r w:rsidR="00192A6B">
        <w:rPr>
          <w:rFonts w:ascii="Times New Roman" w:hAnsi="Times New Roman" w:cs="Times New Roman"/>
          <w:sz w:val="24"/>
          <w:szCs w:val="24"/>
        </w:rPr>
        <w:t xml:space="preserve">  This is exactly w</w:t>
      </w:r>
      <w:r w:rsidR="00A201C6">
        <w:rPr>
          <w:rFonts w:ascii="Times New Roman" w:hAnsi="Times New Roman" w:cs="Times New Roman"/>
          <w:sz w:val="24"/>
          <w:szCs w:val="24"/>
        </w:rPr>
        <w:t>hat</w:t>
      </w:r>
      <w:r w:rsidR="00192A6B">
        <w:rPr>
          <w:rFonts w:ascii="Times New Roman" w:hAnsi="Times New Roman" w:cs="Times New Roman"/>
          <w:sz w:val="24"/>
          <w:szCs w:val="24"/>
        </w:rPr>
        <w:t xml:space="preserve"> a DGR or DESR providing energy and ancillary services to ERCOT is doing.  These are </w:t>
      </w:r>
      <w:r w:rsidR="00192A6B">
        <w:rPr>
          <w:rFonts w:ascii="Times New Roman" w:hAnsi="Times New Roman" w:cs="Times New Roman"/>
          <w:sz w:val="24"/>
          <w:szCs w:val="24"/>
        </w:rPr>
        <w:lastRenderedPageBreak/>
        <w:t xml:space="preserve">registered power generation companies (a defined subset of “transmission service customers”) that are using the transmission and distribution facilities of electric utilities to deliver power at wholesale for the benefit of retail customers.  </w:t>
      </w:r>
      <w:r w:rsidR="007A5574">
        <w:rPr>
          <w:rFonts w:ascii="Times New Roman" w:hAnsi="Times New Roman" w:cs="Times New Roman"/>
          <w:sz w:val="24"/>
          <w:szCs w:val="24"/>
        </w:rPr>
        <w:t>I</w:t>
      </w:r>
      <w:r w:rsidR="00192A6B">
        <w:rPr>
          <w:rFonts w:ascii="Times New Roman" w:hAnsi="Times New Roman" w:cs="Times New Roman"/>
          <w:sz w:val="24"/>
          <w:szCs w:val="24"/>
        </w:rPr>
        <w:t>nterconnection at distribution, rather than transmission</w:t>
      </w:r>
      <w:r w:rsidR="008E4858">
        <w:rPr>
          <w:rFonts w:ascii="Times New Roman" w:hAnsi="Times New Roman" w:cs="Times New Roman"/>
          <w:sz w:val="24"/>
          <w:szCs w:val="24"/>
        </w:rPr>
        <w:t>,</w:t>
      </w:r>
      <w:r w:rsidR="00192A6B">
        <w:rPr>
          <w:rFonts w:ascii="Times New Roman" w:hAnsi="Times New Roman" w:cs="Times New Roman"/>
          <w:sz w:val="24"/>
          <w:szCs w:val="24"/>
        </w:rPr>
        <w:t xml:space="preserve"> voltage is not the </w:t>
      </w:r>
      <w:r w:rsidR="00223860">
        <w:rPr>
          <w:rFonts w:ascii="Times New Roman" w:hAnsi="Times New Roman" w:cs="Times New Roman"/>
          <w:sz w:val="24"/>
          <w:szCs w:val="24"/>
        </w:rPr>
        <w:t>relevant</w:t>
      </w:r>
      <w:r w:rsidR="00192A6B">
        <w:rPr>
          <w:rFonts w:ascii="Times New Roman" w:hAnsi="Times New Roman" w:cs="Times New Roman"/>
          <w:sz w:val="24"/>
          <w:szCs w:val="24"/>
        </w:rPr>
        <w:t xml:space="preserve"> factor</w:t>
      </w:r>
      <w:r w:rsidR="00223860">
        <w:rPr>
          <w:rFonts w:ascii="Times New Roman" w:hAnsi="Times New Roman" w:cs="Times New Roman"/>
          <w:sz w:val="24"/>
          <w:szCs w:val="24"/>
        </w:rPr>
        <w:t xml:space="preserve"> determin</w:t>
      </w:r>
      <w:r w:rsidR="007A5574">
        <w:rPr>
          <w:rFonts w:ascii="Times New Roman" w:hAnsi="Times New Roman" w:cs="Times New Roman"/>
          <w:sz w:val="24"/>
          <w:szCs w:val="24"/>
        </w:rPr>
        <w:t>ing</w:t>
      </w:r>
      <w:r w:rsidR="00223860">
        <w:rPr>
          <w:rFonts w:ascii="Times New Roman" w:hAnsi="Times New Roman" w:cs="Times New Roman"/>
          <w:sz w:val="24"/>
          <w:szCs w:val="24"/>
        </w:rPr>
        <w:t xml:space="preserve"> the applicability of the transmission access rules</w:t>
      </w:r>
      <w:r w:rsidR="00192A6B">
        <w:rPr>
          <w:rFonts w:ascii="Times New Roman" w:hAnsi="Times New Roman" w:cs="Times New Roman"/>
          <w:sz w:val="24"/>
          <w:szCs w:val="24"/>
        </w:rPr>
        <w:t xml:space="preserve">. </w:t>
      </w:r>
      <w:r w:rsidR="00515A3C">
        <w:rPr>
          <w:rFonts w:ascii="Times New Roman" w:hAnsi="Times New Roman" w:cs="Times New Roman"/>
          <w:sz w:val="24"/>
          <w:szCs w:val="24"/>
        </w:rPr>
        <w:t xml:space="preserve"> </w:t>
      </w:r>
      <w:r w:rsidR="00717DD2">
        <w:rPr>
          <w:rFonts w:ascii="Times New Roman" w:hAnsi="Times New Roman" w:cs="Times New Roman"/>
          <w:sz w:val="24"/>
          <w:szCs w:val="24"/>
        </w:rPr>
        <w:t>Establishing an interconnection allowance is a term or condition of comparable open access</w:t>
      </w:r>
      <w:r w:rsidR="00954C5B">
        <w:rPr>
          <w:rFonts w:ascii="Times New Roman" w:hAnsi="Times New Roman" w:cs="Times New Roman"/>
          <w:sz w:val="24"/>
          <w:szCs w:val="24"/>
        </w:rPr>
        <w:t xml:space="preserve"> and the Commission has clear statutory authority to establish an </w:t>
      </w:r>
      <w:r w:rsidR="00CC1FCB">
        <w:rPr>
          <w:rFonts w:ascii="Times New Roman" w:hAnsi="Times New Roman" w:cs="Times New Roman"/>
          <w:sz w:val="24"/>
          <w:szCs w:val="24"/>
        </w:rPr>
        <w:t xml:space="preserve">interconnection </w:t>
      </w:r>
      <w:r w:rsidR="00954C5B">
        <w:rPr>
          <w:rFonts w:ascii="Times New Roman" w:hAnsi="Times New Roman" w:cs="Times New Roman"/>
          <w:sz w:val="24"/>
          <w:szCs w:val="24"/>
        </w:rPr>
        <w:t xml:space="preserve">allowance for </w:t>
      </w:r>
      <w:r w:rsidR="00CC1FCB">
        <w:rPr>
          <w:rFonts w:ascii="Times New Roman" w:hAnsi="Times New Roman" w:cs="Times New Roman"/>
          <w:sz w:val="24"/>
          <w:szCs w:val="24"/>
        </w:rPr>
        <w:t>R</w:t>
      </w:r>
      <w:r w:rsidR="00954C5B">
        <w:rPr>
          <w:rFonts w:ascii="Times New Roman" w:hAnsi="Times New Roman" w:cs="Times New Roman"/>
          <w:sz w:val="24"/>
          <w:szCs w:val="24"/>
        </w:rPr>
        <w:t>esource</w:t>
      </w:r>
      <w:r w:rsidR="00A33604">
        <w:rPr>
          <w:rFonts w:ascii="Times New Roman" w:hAnsi="Times New Roman" w:cs="Times New Roman"/>
          <w:sz w:val="24"/>
          <w:szCs w:val="24"/>
        </w:rPr>
        <w:t>s deliver</w:t>
      </w:r>
      <w:r w:rsidR="008E4858">
        <w:rPr>
          <w:rFonts w:ascii="Times New Roman" w:hAnsi="Times New Roman" w:cs="Times New Roman"/>
          <w:sz w:val="24"/>
          <w:szCs w:val="24"/>
        </w:rPr>
        <w:t>ing</w:t>
      </w:r>
      <w:r w:rsidR="00A33604">
        <w:rPr>
          <w:rFonts w:ascii="Times New Roman" w:hAnsi="Times New Roman" w:cs="Times New Roman"/>
          <w:sz w:val="24"/>
          <w:szCs w:val="24"/>
        </w:rPr>
        <w:t xml:space="preserve"> wholesale </w:t>
      </w:r>
      <w:r w:rsidR="00954C5B">
        <w:rPr>
          <w:rFonts w:ascii="Times New Roman" w:hAnsi="Times New Roman" w:cs="Times New Roman"/>
          <w:sz w:val="24"/>
          <w:szCs w:val="24"/>
        </w:rPr>
        <w:t>energy and ancillary services to the grid.</w:t>
      </w:r>
    </w:p>
    <w:p w14:paraId="7E261C52" w14:textId="77777777" w:rsidR="00C70C14" w:rsidRDefault="00501142"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Further, the </w:t>
      </w:r>
      <w:r w:rsidR="00356FD5">
        <w:rPr>
          <w:rFonts w:ascii="Times New Roman" w:hAnsi="Times New Roman" w:cs="Times New Roman"/>
          <w:sz w:val="24"/>
          <w:szCs w:val="24"/>
        </w:rPr>
        <w:t xml:space="preserve">statutory </w:t>
      </w:r>
      <w:r>
        <w:rPr>
          <w:rFonts w:ascii="Times New Roman" w:hAnsi="Times New Roman" w:cs="Times New Roman"/>
          <w:sz w:val="24"/>
          <w:szCs w:val="24"/>
        </w:rPr>
        <w:t>requirement for utilities to provide comparable transmission service</w:t>
      </w:r>
      <w:r w:rsidR="005F3598">
        <w:rPr>
          <w:rFonts w:ascii="Times New Roman" w:hAnsi="Times New Roman" w:cs="Times New Roman"/>
          <w:sz w:val="24"/>
          <w:szCs w:val="24"/>
        </w:rPr>
        <w:t>, including through its distribution facilities, expressly applies to electric cooperatives and municipally-owned utilities.</w:t>
      </w:r>
      <w:r w:rsidR="00356FD5">
        <w:rPr>
          <w:rStyle w:val="FootnoteReference"/>
          <w:rFonts w:ascii="Times New Roman" w:hAnsi="Times New Roman" w:cs="Times New Roman"/>
          <w:sz w:val="24"/>
          <w:szCs w:val="24"/>
        </w:rPr>
        <w:footnoteReference w:id="4"/>
      </w:r>
      <w:r w:rsidR="005F3598">
        <w:rPr>
          <w:rFonts w:ascii="Times New Roman" w:hAnsi="Times New Roman" w:cs="Times New Roman"/>
          <w:sz w:val="24"/>
          <w:szCs w:val="24"/>
        </w:rPr>
        <w:t xml:space="preserve"> </w:t>
      </w:r>
      <w:r w:rsidR="00A05967">
        <w:rPr>
          <w:rFonts w:ascii="Times New Roman" w:hAnsi="Times New Roman" w:cs="Times New Roman"/>
          <w:sz w:val="24"/>
          <w:szCs w:val="24"/>
        </w:rPr>
        <w:t xml:space="preserve"> </w:t>
      </w:r>
      <w:r w:rsidR="00202B63">
        <w:rPr>
          <w:rFonts w:ascii="Times New Roman" w:hAnsi="Times New Roman" w:cs="Times New Roman"/>
          <w:sz w:val="24"/>
          <w:szCs w:val="24"/>
        </w:rPr>
        <w:t>This is implicitly acknowledged by certain cooperatives and</w:t>
      </w:r>
      <w:r w:rsidR="007C51E5">
        <w:rPr>
          <w:rFonts w:ascii="Times New Roman" w:hAnsi="Times New Roman" w:cs="Times New Roman"/>
          <w:sz w:val="24"/>
          <w:szCs w:val="24"/>
        </w:rPr>
        <w:t xml:space="preserve"> muni</w:t>
      </w:r>
      <w:r w:rsidR="00C63B71">
        <w:rPr>
          <w:rFonts w:ascii="Times New Roman" w:hAnsi="Times New Roman" w:cs="Times New Roman"/>
          <w:sz w:val="24"/>
          <w:szCs w:val="24"/>
        </w:rPr>
        <w:t>cipally-owned utilities</w:t>
      </w:r>
      <w:r w:rsidR="007C51E5">
        <w:rPr>
          <w:rFonts w:ascii="Times New Roman" w:hAnsi="Times New Roman" w:cs="Times New Roman"/>
          <w:sz w:val="24"/>
          <w:szCs w:val="24"/>
        </w:rPr>
        <w:t xml:space="preserve"> when they file wholesale distribution service tariffs for approval by the Commission.</w:t>
      </w:r>
      <w:r w:rsidR="007C51E5">
        <w:rPr>
          <w:rStyle w:val="FootnoteReference"/>
          <w:rFonts w:ascii="Times New Roman" w:hAnsi="Times New Roman" w:cs="Times New Roman"/>
          <w:sz w:val="24"/>
          <w:szCs w:val="24"/>
        </w:rPr>
        <w:footnoteReference w:id="5"/>
      </w:r>
      <w:r w:rsidR="003E414D">
        <w:rPr>
          <w:rFonts w:ascii="Times New Roman" w:hAnsi="Times New Roman" w:cs="Times New Roman"/>
          <w:sz w:val="24"/>
          <w:szCs w:val="24"/>
        </w:rPr>
        <w:t xml:space="preserve">  </w:t>
      </w:r>
      <w:r w:rsidR="00A05554">
        <w:rPr>
          <w:rFonts w:ascii="Times New Roman" w:hAnsi="Times New Roman" w:cs="Times New Roman"/>
          <w:sz w:val="24"/>
          <w:szCs w:val="24"/>
        </w:rPr>
        <w:t>These tariffs apply to DESRs</w:t>
      </w:r>
      <w:r w:rsidR="009B066D">
        <w:rPr>
          <w:rFonts w:ascii="Times New Roman" w:hAnsi="Times New Roman" w:cs="Times New Roman"/>
          <w:sz w:val="24"/>
          <w:szCs w:val="24"/>
        </w:rPr>
        <w:t xml:space="preserve"> seeking wholesale transmission service at distribution voltage.  </w:t>
      </w:r>
      <w:r w:rsidR="00CA441C">
        <w:rPr>
          <w:rFonts w:ascii="Times New Roman" w:hAnsi="Times New Roman" w:cs="Times New Roman"/>
          <w:sz w:val="24"/>
          <w:szCs w:val="24"/>
        </w:rPr>
        <w:t>A</w:t>
      </w:r>
      <w:r w:rsidR="00C63B71">
        <w:rPr>
          <w:rFonts w:ascii="Times New Roman" w:hAnsi="Times New Roman" w:cs="Times New Roman"/>
          <w:sz w:val="24"/>
          <w:szCs w:val="24"/>
        </w:rPr>
        <w:t xml:space="preserve"> standard wholesale</w:t>
      </w:r>
      <w:r w:rsidR="00CA441C">
        <w:rPr>
          <w:rFonts w:ascii="Times New Roman" w:hAnsi="Times New Roman" w:cs="Times New Roman"/>
          <w:sz w:val="24"/>
          <w:szCs w:val="24"/>
        </w:rPr>
        <w:t xml:space="preserve"> interconnection allowance for these same customers (and for DGRs)</w:t>
      </w:r>
      <w:r w:rsidR="00ED1E43">
        <w:rPr>
          <w:rFonts w:ascii="Times New Roman" w:hAnsi="Times New Roman" w:cs="Times New Roman"/>
          <w:sz w:val="24"/>
          <w:szCs w:val="24"/>
        </w:rPr>
        <w:t xml:space="preserve"> is simply another term of wholesale transmission service over which the Commission has jurisdiction.</w:t>
      </w:r>
    </w:p>
    <w:p w14:paraId="54CE867C" w14:textId="6B32D345" w:rsidR="00152360" w:rsidRDefault="00152360"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Additionally, Texas Electric Cooperatives (“TEC”) and others have argued that “</w:t>
      </w:r>
      <w:r w:rsidRPr="00152360">
        <w:rPr>
          <w:rFonts w:ascii="Times New Roman" w:hAnsi="Times New Roman" w:cs="Times New Roman"/>
          <w:sz w:val="24"/>
          <w:szCs w:val="24"/>
        </w:rPr>
        <w:t>Resources connected at transmission pay for their own</w:t>
      </w:r>
      <w:r>
        <w:rPr>
          <w:rFonts w:ascii="Times New Roman" w:hAnsi="Times New Roman" w:cs="Times New Roman"/>
          <w:sz w:val="24"/>
          <w:szCs w:val="24"/>
        </w:rPr>
        <w:t xml:space="preserve"> </w:t>
      </w:r>
      <w:r w:rsidRPr="00152360">
        <w:rPr>
          <w:rFonts w:ascii="Times New Roman" w:hAnsi="Times New Roman" w:cs="Times New Roman"/>
          <w:sz w:val="24"/>
          <w:szCs w:val="24"/>
        </w:rPr>
        <w:t>distribution facilities, including lines, transformers, and protective devices, necessary for their generation activities, just as DESRs should be required to do.</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6"/>
      </w:r>
      <w:r>
        <w:rPr>
          <w:rFonts w:ascii="Times New Roman" w:hAnsi="Times New Roman" w:cs="Times New Roman"/>
          <w:sz w:val="24"/>
          <w:szCs w:val="24"/>
        </w:rPr>
        <w:t xml:space="preserve"> In </w:t>
      </w:r>
      <w:r w:rsidR="00FC0415">
        <w:rPr>
          <w:rFonts w:ascii="Times New Roman" w:hAnsi="Times New Roman" w:cs="Times New Roman"/>
          <w:sz w:val="24"/>
          <w:szCs w:val="24"/>
        </w:rPr>
        <w:t>reality</w:t>
      </w:r>
      <w:r>
        <w:rPr>
          <w:rFonts w:ascii="Times New Roman" w:hAnsi="Times New Roman" w:cs="Times New Roman"/>
          <w:sz w:val="24"/>
          <w:szCs w:val="24"/>
        </w:rPr>
        <w:t>, DGRs</w:t>
      </w:r>
      <w:r w:rsidR="005B1B07">
        <w:rPr>
          <w:rFonts w:ascii="Times New Roman" w:hAnsi="Times New Roman" w:cs="Times New Roman"/>
          <w:sz w:val="24"/>
          <w:szCs w:val="24"/>
        </w:rPr>
        <w:t xml:space="preserve"> and DESRs</w:t>
      </w:r>
      <w:r>
        <w:rPr>
          <w:rFonts w:ascii="Times New Roman" w:hAnsi="Times New Roman" w:cs="Times New Roman"/>
          <w:sz w:val="24"/>
          <w:szCs w:val="24"/>
        </w:rPr>
        <w:t xml:space="preserve"> completely pay for their own distribution facilities</w:t>
      </w:r>
      <w:r w:rsidR="00B10DD6">
        <w:rPr>
          <w:rFonts w:ascii="Times New Roman" w:hAnsi="Times New Roman" w:cs="Times New Roman"/>
          <w:sz w:val="24"/>
          <w:szCs w:val="24"/>
        </w:rPr>
        <w:t xml:space="preserve"> </w:t>
      </w:r>
      <w:r w:rsidR="00C262F7">
        <w:rPr>
          <w:rFonts w:ascii="Times New Roman" w:hAnsi="Times New Roman" w:cs="Times New Roman"/>
          <w:sz w:val="24"/>
          <w:szCs w:val="24"/>
        </w:rPr>
        <w:t>to step up to the service voltage</w:t>
      </w:r>
      <w:r>
        <w:rPr>
          <w:rFonts w:ascii="Times New Roman" w:hAnsi="Times New Roman" w:cs="Times New Roman"/>
          <w:sz w:val="24"/>
          <w:szCs w:val="24"/>
        </w:rPr>
        <w:t xml:space="preserve"> in exactly the same manner as transmission interconnected generation; including overhead and underground lines, poles, system protections, and transformers. Further, any energy </w:t>
      </w:r>
      <w:r w:rsidR="00FC0415">
        <w:rPr>
          <w:rFonts w:ascii="Times New Roman" w:hAnsi="Times New Roman" w:cs="Times New Roman"/>
          <w:sz w:val="24"/>
          <w:szCs w:val="24"/>
        </w:rPr>
        <w:t xml:space="preserve">actually </w:t>
      </w:r>
      <w:r>
        <w:rPr>
          <w:rFonts w:ascii="Times New Roman" w:hAnsi="Times New Roman" w:cs="Times New Roman"/>
          <w:sz w:val="24"/>
          <w:szCs w:val="24"/>
        </w:rPr>
        <w:t xml:space="preserve">consumed by the DGR facilities for auxiliary power including heating, ventilation, and air conditioning (HVAC), </w:t>
      </w:r>
      <w:r w:rsidR="00FC0415">
        <w:rPr>
          <w:rFonts w:ascii="Times New Roman" w:hAnsi="Times New Roman" w:cs="Times New Roman"/>
          <w:sz w:val="24"/>
          <w:szCs w:val="24"/>
        </w:rPr>
        <w:t xml:space="preserve">and </w:t>
      </w:r>
      <w:r>
        <w:rPr>
          <w:rFonts w:ascii="Times New Roman" w:hAnsi="Times New Roman" w:cs="Times New Roman"/>
          <w:sz w:val="24"/>
          <w:szCs w:val="24"/>
        </w:rPr>
        <w:t>communications</w:t>
      </w:r>
      <w:r w:rsidR="00FC0415">
        <w:rPr>
          <w:rFonts w:ascii="Times New Roman" w:hAnsi="Times New Roman" w:cs="Times New Roman"/>
          <w:sz w:val="24"/>
          <w:szCs w:val="24"/>
        </w:rPr>
        <w:t xml:space="preserve"> utilize the same exact retail electric provider (“REP”) structure to pay for the energy in the exact same manner as any transmission interconnected generation auxiliary load.  To assert otherwise is disingenuous.</w:t>
      </w:r>
    </w:p>
    <w:p w14:paraId="0C81B94B" w14:textId="77777777" w:rsidR="00367907" w:rsidRPr="00A91548" w:rsidRDefault="00367907" w:rsidP="00367907">
      <w:pPr>
        <w:spacing w:line="360" w:lineRule="auto"/>
        <w:jc w:val="both"/>
        <w:rPr>
          <w:rFonts w:ascii="Times New Roman" w:hAnsi="Times New Roman" w:cs="Times New Roman"/>
          <w:b/>
          <w:bCs/>
          <w:sz w:val="24"/>
          <w:szCs w:val="24"/>
        </w:rPr>
      </w:pPr>
      <w:r w:rsidRPr="00A91548">
        <w:rPr>
          <w:rFonts w:ascii="Times New Roman" w:hAnsi="Times New Roman" w:cs="Times New Roman"/>
          <w:b/>
          <w:bCs/>
          <w:i/>
          <w:iCs/>
          <w:sz w:val="24"/>
          <w:szCs w:val="24"/>
        </w:rPr>
        <w:lastRenderedPageBreak/>
        <w:t>Question 2: What are the advantages and disadvantages of the proposed standard distribution resource interconnection allowance? Is a standard distribution resource interconnection allowance a viable option to move forward? If not, why?</w:t>
      </w:r>
    </w:p>
    <w:p w14:paraId="59B6DBD8" w14:textId="77777777" w:rsidR="00794E42" w:rsidRDefault="0023672B"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As noted by several commenters, a standard </w:t>
      </w:r>
      <w:r w:rsidR="00A65E43">
        <w:rPr>
          <w:rFonts w:ascii="Times New Roman" w:hAnsi="Times New Roman" w:cs="Times New Roman"/>
          <w:sz w:val="24"/>
          <w:szCs w:val="24"/>
        </w:rPr>
        <w:t>allowance creates a uniform approach to interconnection across utility service areas.</w:t>
      </w:r>
      <w:r w:rsidR="00447E17">
        <w:rPr>
          <w:rFonts w:ascii="Times New Roman" w:hAnsi="Times New Roman" w:cs="Times New Roman"/>
          <w:sz w:val="24"/>
          <w:szCs w:val="24"/>
        </w:rPr>
        <w:t xml:space="preserve">  The Office of Public Utility Counsel (“OPUC”) raised a concern with a standard allowance because “the allowance would not be based on the actual interconnection costs for each utility.”</w:t>
      </w:r>
      <w:r w:rsidR="00447E17">
        <w:rPr>
          <w:rStyle w:val="FootnoteReference"/>
          <w:rFonts w:ascii="Times New Roman" w:hAnsi="Times New Roman" w:cs="Times New Roman"/>
          <w:sz w:val="24"/>
          <w:szCs w:val="24"/>
        </w:rPr>
        <w:footnoteReference w:id="7"/>
      </w:r>
      <w:r w:rsidR="00B35806">
        <w:rPr>
          <w:rFonts w:ascii="Times New Roman" w:hAnsi="Times New Roman" w:cs="Times New Roman"/>
          <w:sz w:val="24"/>
          <w:szCs w:val="24"/>
        </w:rPr>
        <w:t xml:space="preserve">  It’s HEN’s understanding that </w:t>
      </w:r>
      <w:r w:rsidR="007A5574">
        <w:rPr>
          <w:rFonts w:ascii="Times New Roman" w:hAnsi="Times New Roman" w:cs="Times New Roman"/>
          <w:sz w:val="24"/>
          <w:szCs w:val="24"/>
        </w:rPr>
        <w:t xml:space="preserve">the </w:t>
      </w:r>
      <w:r w:rsidR="00B35806">
        <w:rPr>
          <w:rFonts w:ascii="Times New Roman" w:hAnsi="Times New Roman" w:cs="Times New Roman"/>
          <w:sz w:val="24"/>
          <w:szCs w:val="24"/>
        </w:rPr>
        <w:t>utility would</w:t>
      </w:r>
      <w:r w:rsidR="009C1CE0">
        <w:rPr>
          <w:rFonts w:ascii="Times New Roman" w:hAnsi="Times New Roman" w:cs="Times New Roman"/>
          <w:sz w:val="24"/>
          <w:szCs w:val="24"/>
        </w:rPr>
        <w:t xml:space="preserve"> only recover the actual costs of the interconnection, not the full allowance amount</w:t>
      </w:r>
      <w:r w:rsidR="008C6056">
        <w:rPr>
          <w:rFonts w:ascii="Times New Roman" w:hAnsi="Times New Roman" w:cs="Times New Roman"/>
          <w:sz w:val="24"/>
          <w:szCs w:val="24"/>
        </w:rPr>
        <w:t xml:space="preserve">.  However, if the actual costs exceeded the allowance, then the DER would pay the actual costs that exceed the allowance.  Thus, the utility </w:t>
      </w:r>
      <w:r w:rsidR="008C6056" w:rsidRPr="00782601">
        <w:rPr>
          <w:rFonts w:ascii="Times New Roman" w:hAnsi="Times New Roman" w:cs="Times New Roman"/>
          <w:i/>
          <w:iCs/>
          <w:sz w:val="24"/>
          <w:szCs w:val="24"/>
        </w:rPr>
        <w:t>is</w:t>
      </w:r>
      <w:r w:rsidR="008C6056">
        <w:rPr>
          <w:rFonts w:ascii="Times New Roman" w:hAnsi="Times New Roman" w:cs="Times New Roman"/>
          <w:sz w:val="24"/>
          <w:szCs w:val="24"/>
        </w:rPr>
        <w:t xml:space="preserve"> only recovering its actual costs</w:t>
      </w:r>
      <w:r w:rsidR="00782601">
        <w:rPr>
          <w:rFonts w:ascii="Times New Roman" w:hAnsi="Times New Roman" w:cs="Times New Roman"/>
          <w:sz w:val="24"/>
          <w:szCs w:val="24"/>
        </w:rPr>
        <w:t>.</w:t>
      </w:r>
    </w:p>
    <w:p w14:paraId="43075CD9" w14:textId="7C497332" w:rsidR="00367907" w:rsidRDefault="00D360CC"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Oncor Electric Delivery Company (“Oncor”) </w:t>
      </w:r>
      <w:r w:rsidR="00794E42">
        <w:rPr>
          <w:rFonts w:ascii="Times New Roman" w:hAnsi="Times New Roman" w:cs="Times New Roman"/>
          <w:sz w:val="24"/>
          <w:szCs w:val="24"/>
        </w:rPr>
        <w:t xml:space="preserve">noted in its comments that if </w:t>
      </w:r>
      <w:r w:rsidR="0014740C">
        <w:rPr>
          <w:rFonts w:ascii="Times New Roman" w:hAnsi="Times New Roman" w:cs="Times New Roman"/>
          <w:sz w:val="24"/>
          <w:szCs w:val="24"/>
        </w:rPr>
        <w:t xml:space="preserve">a standard allowance were not adopted, and instead each DSP </w:t>
      </w:r>
      <w:r w:rsidR="00B426AC">
        <w:rPr>
          <w:rFonts w:ascii="Times New Roman" w:hAnsi="Times New Roman" w:cs="Times New Roman"/>
          <w:sz w:val="24"/>
          <w:szCs w:val="24"/>
        </w:rPr>
        <w:t>were required to establish its own allowance, this could be done in the DSP’s next base rate case.  HEN does not support this proposal for two reasons.  First, HEN strongly believes that the allowance should be standardized across DSPs</w:t>
      </w:r>
      <w:r w:rsidR="00FA271D">
        <w:rPr>
          <w:rFonts w:ascii="Times New Roman" w:hAnsi="Times New Roman" w:cs="Times New Roman"/>
          <w:sz w:val="24"/>
          <w:szCs w:val="24"/>
        </w:rPr>
        <w:t xml:space="preserve">, just as it is for the transmission-voltage Resources.  Allowing each DSP to set its own allowance </w:t>
      </w:r>
      <w:r w:rsidR="004D4526">
        <w:rPr>
          <w:rFonts w:ascii="Times New Roman" w:hAnsi="Times New Roman" w:cs="Times New Roman"/>
          <w:sz w:val="24"/>
          <w:szCs w:val="24"/>
        </w:rPr>
        <w:t>only perpetuates the existing problems with D</w:t>
      </w:r>
      <w:r w:rsidR="00520C9A">
        <w:rPr>
          <w:rFonts w:ascii="Times New Roman" w:hAnsi="Times New Roman" w:cs="Times New Roman"/>
          <w:sz w:val="24"/>
          <w:szCs w:val="24"/>
        </w:rPr>
        <w:t>G</w:t>
      </w:r>
      <w:r w:rsidR="004D4526">
        <w:rPr>
          <w:rFonts w:ascii="Times New Roman" w:hAnsi="Times New Roman" w:cs="Times New Roman"/>
          <w:sz w:val="24"/>
          <w:szCs w:val="24"/>
        </w:rPr>
        <w:t xml:space="preserve">R interconnections – each DSP has its own rules and requirements, </w:t>
      </w:r>
      <w:r w:rsidR="00520C9A">
        <w:rPr>
          <w:rFonts w:ascii="Times New Roman" w:hAnsi="Times New Roman" w:cs="Times New Roman"/>
          <w:sz w:val="24"/>
          <w:szCs w:val="24"/>
        </w:rPr>
        <w:t xml:space="preserve">necessitating involvement in every rate case which </w:t>
      </w:r>
      <w:r w:rsidR="004D4526">
        <w:rPr>
          <w:rFonts w:ascii="Times New Roman" w:hAnsi="Times New Roman" w:cs="Times New Roman"/>
          <w:sz w:val="24"/>
          <w:szCs w:val="24"/>
        </w:rPr>
        <w:t xml:space="preserve">is </w:t>
      </w:r>
      <w:r w:rsidR="00520C9A">
        <w:rPr>
          <w:rFonts w:ascii="Times New Roman" w:hAnsi="Times New Roman" w:cs="Times New Roman"/>
          <w:sz w:val="24"/>
          <w:szCs w:val="24"/>
        </w:rPr>
        <w:t xml:space="preserve">costly </w:t>
      </w:r>
      <w:r w:rsidR="004D4526">
        <w:rPr>
          <w:rFonts w:ascii="Times New Roman" w:hAnsi="Times New Roman" w:cs="Times New Roman"/>
          <w:sz w:val="24"/>
          <w:szCs w:val="24"/>
        </w:rPr>
        <w:t>and diffic</w:t>
      </w:r>
      <w:r w:rsidR="00EF75DD">
        <w:rPr>
          <w:rFonts w:ascii="Times New Roman" w:hAnsi="Times New Roman" w:cs="Times New Roman"/>
          <w:sz w:val="24"/>
          <w:szCs w:val="24"/>
        </w:rPr>
        <w:t xml:space="preserve">ult for the </w:t>
      </w:r>
      <w:r w:rsidR="00AE4B3A">
        <w:rPr>
          <w:rFonts w:ascii="Times New Roman" w:hAnsi="Times New Roman" w:cs="Times New Roman"/>
          <w:sz w:val="24"/>
          <w:szCs w:val="24"/>
        </w:rPr>
        <w:t>D</w:t>
      </w:r>
      <w:r w:rsidR="00520C9A">
        <w:rPr>
          <w:rFonts w:ascii="Times New Roman" w:hAnsi="Times New Roman" w:cs="Times New Roman"/>
          <w:sz w:val="24"/>
          <w:szCs w:val="24"/>
        </w:rPr>
        <w:t>G</w:t>
      </w:r>
      <w:r w:rsidR="00AE4B3A">
        <w:rPr>
          <w:rFonts w:ascii="Times New Roman" w:hAnsi="Times New Roman" w:cs="Times New Roman"/>
          <w:sz w:val="24"/>
          <w:szCs w:val="24"/>
        </w:rPr>
        <w:t>R</w:t>
      </w:r>
      <w:r w:rsidR="00EF75DD">
        <w:rPr>
          <w:rFonts w:ascii="Times New Roman" w:hAnsi="Times New Roman" w:cs="Times New Roman"/>
          <w:sz w:val="24"/>
          <w:szCs w:val="24"/>
        </w:rPr>
        <w:t xml:space="preserve">.  Second, </w:t>
      </w:r>
      <w:proofErr w:type="gramStart"/>
      <w:r w:rsidR="00E720CD">
        <w:rPr>
          <w:rFonts w:ascii="Times New Roman" w:hAnsi="Times New Roman" w:cs="Times New Roman"/>
          <w:sz w:val="24"/>
          <w:szCs w:val="24"/>
        </w:rPr>
        <w:t>the majority</w:t>
      </w:r>
      <w:r w:rsidR="00FD2649">
        <w:rPr>
          <w:rFonts w:ascii="Times New Roman" w:hAnsi="Times New Roman" w:cs="Times New Roman"/>
          <w:sz w:val="24"/>
          <w:szCs w:val="24"/>
        </w:rPr>
        <w:t xml:space="preserve"> </w:t>
      </w:r>
      <w:r w:rsidR="00EF75DD">
        <w:rPr>
          <w:rFonts w:ascii="Times New Roman" w:hAnsi="Times New Roman" w:cs="Times New Roman"/>
          <w:sz w:val="24"/>
          <w:szCs w:val="24"/>
        </w:rPr>
        <w:t>of</w:t>
      </w:r>
      <w:proofErr w:type="gramEnd"/>
      <w:r w:rsidR="00EF75DD">
        <w:rPr>
          <w:rFonts w:ascii="Times New Roman" w:hAnsi="Times New Roman" w:cs="Times New Roman"/>
          <w:sz w:val="24"/>
          <w:szCs w:val="24"/>
        </w:rPr>
        <w:t xml:space="preserve"> the investor-owned DSPs</w:t>
      </w:r>
      <w:r w:rsidR="00E720CD">
        <w:rPr>
          <w:rFonts w:ascii="Times New Roman" w:hAnsi="Times New Roman" w:cs="Times New Roman"/>
          <w:sz w:val="24"/>
          <w:szCs w:val="24"/>
        </w:rPr>
        <w:t xml:space="preserve"> either </w:t>
      </w:r>
      <w:r w:rsidR="00AE4B3A">
        <w:rPr>
          <w:rFonts w:ascii="Times New Roman" w:hAnsi="Times New Roman" w:cs="Times New Roman"/>
          <w:sz w:val="24"/>
          <w:szCs w:val="24"/>
        </w:rPr>
        <w:t>recently concluded</w:t>
      </w:r>
      <w:r w:rsidR="00E720CD">
        <w:rPr>
          <w:rFonts w:ascii="Times New Roman" w:hAnsi="Times New Roman" w:cs="Times New Roman"/>
          <w:sz w:val="24"/>
          <w:szCs w:val="24"/>
        </w:rPr>
        <w:t xml:space="preserve"> their</w:t>
      </w:r>
      <w:r w:rsidR="00533A35">
        <w:rPr>
          <w:rFonts w:ascii="Times New Roman" w:hAnsi="Times New Roman" w:cs="Times New Roman"/>
          <w:sz w:val="24"/>
          <w:szCs w:val="24"/>
        </w:rPr>
        <w:t xml:space="preserve"> scheduled </w:t>
      </w:r>
      <w:r w:rsidR="00E7419E">
        <w:rPr>
          <w:rFonts w:ascii="Times New Roman" w:hAnsi="Times New Roman" w:cs="Times New Roman"/>
          <w:sz w:val="24"/>
          <w:szCs w:val="24"/>
        </w:rPr>
        <w:t xml:space="preserve">base </w:t>
      </w:r>
      <w:r w:rsidR="00E720CD">
        <w:rPr>
          <w:rFonts w:ascii="Times New Roman" w:hAnsi="Times New Roman" w:cs="Times New Roman"/>
          <w:sz w:val="24"/>
          <w:szCs w:val="24"/>
        </w:rPr>
        <w:t>rate proceeding</w:t>
      </w:r>
      <w:r w:rsidR="00E7419E">
        <w:rPr>
          <w:rFonts w:ascii="Times New Roman" w:hAnsi="Times New Roman" w:cs="Times New Roman"/>
          <w:sz w:val="24"/>
          <w:szCs w:val="24"/>
        </w:rPr>
        <w:t>s</w:t>
      </w:r>
      <w:r w:rsidR="00DC2807">
        <w:rPr>
          <w:rFonts w:ascii="Times New Roman" w:hAnsi="Times New Roman" w:cs="Times New Roman"/>
          <w:sz w:val="24"/>
          <w:szCs w:val="24"/>
        </w:rPr>
        <w:t xml:space="preserve"> or the proceedings are currently pending</w:t>
      </w:r>
      <w:r w:rsidR="00E720CD">
        <w:rPr>
          <w:rFonts w:ascii="Times New Roman" w:hAnsi="Times New Roman" w:cs="Times New Roman"/>
          <w:sz w:val="24"/>
          <w:szCs w:val="24"/>
        </w:rPr>
        <w:t>.  Adopting this proposal would delay the establishment of</w:t>
      </w:r>
      <w:r w:rsidR="00E7419E">
        <w:rPr>
          <w:rFonts w:ascii="Times New Roman" w:hAnsi="Times New Roman" w:cs="Times New Roman"/>
          <w:sz w:val="24"/>
          <w:szCs w:val="24"/>
        </w:rPr>
        <w:t xml:space="preserve"> an allowance </w:t>
      </w:r>
      <w:r w:rsidR="00D33904">
        <w:rPr>
          <w:rFonts w:ascii="Times New Roman" w:hAnsi="Times New Roman" w:cs="Times New Roman"/>
          <w:sz w:val="24"/>
          <w:szCs w:val="24"/>
        </w:rPr>
        <w:t xml:space="preserve">and cost certainty </w:t>
      </w:r>
      <w:r w:rsidR="00E7419E">
        <w:rPr>
          <w:rFonts w:ascii="Times New Roman" w:hAnsi="Times New Roman" w:cs="Times New Roman"/>
          <w:sz w:val="24"/>
          <w:szCs w:val="24"/>
        </w:rPr>
        <w:t xml:space="preserve">by </w:t>
      </w:r>
      <w:r w:rsidR="00D33904">
        <w:rPr>
          <w:rFonts w:ascii="Times New Roman" w:hAnsi="Times New Roman" w:cs="Times New Roman"/>
          <w:sz w:val="24"/>
          <w:szCs w:val="24"/>
        </w:rPr>
        <w:t>an additional</w:t>
      </w:r>
      <w:r w:rsidR="00E7419E" w:rsidRPr="007A0962">
        <w:rPr>
          <w:rFonts w:ascii="Times New Roman" w:hAnsi="Times New Roman" w:cs="Times New Roman"/>
          <w:sz w:val="24"/>
          <w:szCs w:val="24"/>
        </w:rPr>
        <w:t xml:space="preserve"> </w:t>
      </w:r>
      <w:r w:rsidR="00E7419E" w:rsidRPr="00267128">
        <w:rPr>
          <w:rFonts w:ascii="Times New Roman" w:hAnsi="Times New Roman"/>
          <w:sz w:val="24"/>
        </w:rPr>
        <w:t>four years</w:t>
      </w:r>
      <w:r w:rsidR="004472C2">
        <w:rPr>
          <w:rFonts w:ascii="Times New Roman" w:hAnsi="Times New Roman" w:cs="Times New Roman"/>
          <w:sz w:val="24"/>
          <w:szCs w:val="24"/>
        </w:rPr>
        <w:t xml:space="preserve"> and would require DERs to intervene and expend resources in </w:t>
      </w:r>
      <w:proofErr w:type="gramStart"/>
      <w:r w:rsidR="004472C2">
        <w:rPr>
          <w:rFonts w:ascii="Times New Roman" w:hAnsi="Times New Roman" w:cs="Times New Roman"/>
          <w:sz w:val="24"/>
          <w:szCs w:val="24"/>
        </w:rPr>
        <w:t>all of</w:t>
      </w:r>
      <w:proofErr w:type="gramEnd"/>
      <w:r w:rsidR="004472C2">
        <w:rPr>
          <w:rFonts w:ascii="Times New Roman" w:hAnsi="Times New Roman" w:cs="Times New Roman"/>
          <w:sz w:val="24"/>
          <w:szCs w:val="24"/>
        </w:rPr>
        <w:t xml:space="preserve"> the utility base rate proceedings, which is costly and inefficient</w:t>
      </w:r>
      <w:r w:rsidR="00E7419E" w:rsidRPr="007A0962">
        <w:rPr>
          <w:rFonts w:ascii="Times New Roman" w:hAnsi="Times New Roman" w:cs="Times New Roman"/>
          <w:sz w:val="24"/>
          <w:szCs w:val="24"/>
        </w:rPr>
        <w:t>.</w:t>
      </w:r>
      <w:r w:rsidR="004D4526">
        <w:rPr>
          <w:rFonts w:ascii="Times New Roman" w:hAnsi="Times New Roman" w:cs="Times New Roman"/>
          <w:sz w:val="24"/>
          <w:szCs w:val="24"/>
        </w:rPr>
        <w:t xml:space="preserve"> </w:t>
      </w:r>
      <w:r w:rsidR="004472C2">
        <w:rPr>
          <w:rFonts w:ascii="Times New Roman" w:hAnsi="Times New Roman" w:cs="Times New Roman"/>
          <w:sz w:val="24"/>
          <w:szCs w:val="24"/>
        </w:rPr>
        <w:t xml:space="preserve"> HEN supports setting the </w:t>
      </w:r>
      <w:r w:rsidR="00667C40">
        <w:rPr>
          <w:rFonts w:ascii="Times New Roman" w:hAnsi="Times New Roman" w:cs="Times New Roman"/>
          <w:sz w:val="24"/>
          <w:szCs w:val="24"/>
        </w:rPr>
        <w:t>standard allowance in this rulemaking proceeding.</w:t>
      </w:r>
      <w:r w:rsidR="009C1CE0">
        <w:rPr>
          <w:rFonts w:ascii="Times New Roman" w:hAnsi="Times New Roman" w:cs="Times New Roman"/>
          <w:sz w:val="24"/>
          <w:szCs w:val="24"/>
        </w:rPr>
        <w:t xml:space="preserve"> </w:t>
      </w:r>
    </w:p>
    <w:p w14:paraId="149258B8" w14:textId="77777777" w:rsidR="00995512" w:rsidRPr="00A91548" w:rsidRDefault="00995512" w:rsidP="00995512">
      <w:pPr>
        <w:spacing w:line="360" w:lineRule="auto"/>
        <w:jc w:val="both"/>
        <w:rPr>
          <w:rFonts w:ascii="Times New Roman" w:hAnsi="Times New Roman" w:cs="Times New Roman"/>
          <w:b/>
          <w:bCs/>
          <w:i/>
          <w:iCs/>
          <w:sz w:val="24"/>
          <w:szCs w:val="24"/>
        </w:rPr>
      </w:pPr>
      <w:r w:rsidRPr="00A91548">
        <w:rPr>
          <w:rFonts w:ascii="Times New Roman" w:hAnsi="Times New Roman" w:cs="Times New Roman"/>
          <w:b/>
          <w:bCs/>
          <w:i/>
          <w:iCs/>
          <w:sz w:val="24"/>
          <w:szCs w:val="24"/>
        </w:rPr>
        <w:t xml:space="preserve">Question 3: At what amount should a standard distribution resource interconnection allowance be set? Should the applicability or amount of the allowance vary based on the size of the resource? </w:t>
      </w:r>
    </w:p>
    <w:p w14:paraId="39D85281" w14:textId="256F0437" w:rsidR="000C54EA" w:rsidRDefault="00EF2B97"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As pointed out by both </w:t>
      </w:r>
      <w:r w:rsidR="00E06BEB">
        <w:rPr>
          <w:rFonts w:ascii="Times New Roman" w:hAnsi="Times New Roman" w:cs="Times New Roman"/>
          <w:sz w:val="24"/>
          <w:szCs w:val="24"/>
        </w:rPr>
        <w:t>GRIT</w:t>
      </w:r>
      <w:r w:rsidR="00747F2F">
        <w:rPr>
          <w:rFonts w:ascii="Times New Roman" w:hAnsi="Times New Roman" w:cs="Times New Roman"/>
          <w:sz w:val="24"/>
          <w:szCs w:val="24"/>
        </w:rPr>
        <w:t xml:space="preserve"> and Base Power, </w:t>
      </w:r>
      <w:r w:rsidR="00A67587">
        <w:rPr>
          <w:rFonts w:ascii="Times New Roman" w:hAnsi="Times New Roman" w:cs="Times New Roman"/>
          <w:sz w:val="24"/>
          <w:szCs w:val="24"/>
        </w:rPr>
        <w:t>there are varying sizes of DERs.</w:t>
      </w:r>
      <w:r w:rsidR="00E06BEB">
        <w:rPr>
          <w:rStyle w:val="FootnoteReference"/>
          <w:rFonts w:ascii="Times New Roman" w:hAnsi="Times New Roman" w:cs="Times New Roman"/>
          <w:sz w:val="24"/>
          <w:szCs w:val="24"/>
        </w:rPr>
        <w:footnoteReference w:id="8"/>
      </w:r>
      <w:r w:rsidR="00A67587">
        <w:rPr>
          <w:rFonts w:ascii="Times New Roman" w:hAnsi="Times New Roman" w:cs="Times New Roman"/>
          <w:sz w:val="24"/>
          <w:szCs w:val="24"/>
        </w:rPr>
        <w:t xml:space="preserve">  HEN </w:t>
      </w:r>
      <w:r w:rsidR="0039269A">
        <w:rPr>
          <w:rFonts w:ascii="Times New Roman" w:hAnsi="Times New Roman" w:cs="Times New Roman"/>
          <w:sz w:val="24"/>
          <w:szCs w:val="24"/>
        </w:rPr>
        <w:t>believes that the proposed $1.5M allowance was designed to apply to the larger, ERCOT-registered DER</w:t>
      </w:r>
      <w:r w:rsidR="003B4ABF">
        <w:rPr>
          <w:rFonts w:ascii="Times New Roman" w:hAnsi="Times New Roman" w:cs="Times New Roman"/>
          <w:sz w:val="24"/>
          <w:szCs w:val="24"/>
        </w:rPr>
        <w:t xml:space="preserve">s, that is, </w:t>
      </w:r>
      <w:r w:rsidR="0039269A">
        <w:rPr>
          <w:rFonts w:ascii="Times New Roman" w:hAnsi="Times New Roman" w:cs="Times New Roman"/>
          <w:sz w:val="24"/>
          <w:szCs w:val="24"/>
        </w:rPr>
        <w:t>DGRs and DESR</w:t>
      </w:r>
      <w:r w:rsidR="000D786E">
        <w:rPr>
          <w:rFonts w:ascii="Times New Roman" w:hAnsi="Times New Roman" w:cs="Times New Roman"/>
          <w:sz w:val="24"/>
          <w:szCs w:val="24"/>
        </w:rPr>
        <w:t>s.</w:t>
      </w:r>
      <w:r w:rsidR="00093299">
        <w:rPr>
          <w:rFonts w:ascii="Times New Roman" w:hAnsi="Times New Roman" w:cs="Times New Roman"/>
          <w:sz w:val="24"/>
          <w:szCs w:val="24"/>
        </w:rPr>
        <w:t xml:space="preserve">  For these customers, most of which are 9.9 MW</w:t>
      </w:r>
      <w:r w:rsidR="00E761B4">
        <w:rPr>
          <w:rFonts w:ascii="Times New Roman" w:hAnsi="Times New Roman" w:cs="Times New Roman"/>
          <w:sz w:val="24"/>
          <w:szCs w:val="24"/>
        </w:rPr>
        <w:t xml:space="preserve"> and are located </w:t>
      </w:r>
      <w:r w:rsidR="00297849">
        <w:rPr>
          <w:rFonts w:ascii="Times New Roman" w:hAnsi="Times New Roman" w:cs="Times New Roman"/>
          <w:sz w:val="24"/>
          <w:szCs w:val="24"/>
        </w:rPr>
        <w:t>close to the DSP’s substation</w:t>
      </w:r>
      <w:r w:rsidR="000B4156">
        <w:rPr>
          <w:rFonts w:ascii="Times New Roman" w:hAnsi="Times New Roman" w:cs="Times New Roman"/>
          <w:sz w:val="24"/>
          <w:szCs w:val="24"/>
        </w:rPr>
        <w:t xml:space="preserve">, the standard allowance is appropriate and it should not vary by size, just as the </w:t>
      </w:r>
      <w:r w:rsidR="00284906">
        <w:rPr>
          <w:rFonts w:ascii="Times New Roman" w:hAnsi="Times New Roman" w:cs="Times New Roman"/>
          <w:sz w:val="24"/>
          <w:szCs w:val="24"/>
        </w:rPr>
        <w:t>allowance for transmission-connected resources does not vary by size.</w:t>
      </w:r>
      <w:r w:rsidR="00771814">
        <w:rPr>
          <w:rFonts w:ascii="Times New Roman" w:hAnsi="Times New Roman" w:cs="Times New Roman"/>
          <w:sz w:val="24"/>
          <w:szCs w:val="24"/>
        </w:rPr>
        <w:t xml:space="preserve">  </w:t>
      </w:r>
      <w:r w:rsidR="0055239E">
        <w:rPr>
          <w:rFonts w:ascii="Times New Roman" w:hAnsi="Times New Roman" w:cs="Times New Roman"/>
          <w:sz w:val="24"/>
          <w:szCs w:val="24"/>
        </w:rPr>
        <w:t xml:space="preserve">As pointed out by CenterPoint Energy Houston Electric, LLC </w:t>
      </w:r>
      <w:r w:rsidR="0055239E">
        <w:rPr>
          <w:rFonts w:ascii="Times New Roman" w:hAnsi="Times New Roman" w:cs="Times New Roman"/>
          <w:sz w:val="24"/>
          <w:szCs w:val="24"/>
        </w:rPr>
        <w:lastRenderedPageBreak/>
        <w:t>(“CenterPoint”), for these Resources, the</w:t>
      </w:r>
      <w:r w:rsidR="0055239E" w:rsidRPr="0055239E">
        <w:rPr>
          <w:rFonts w:ascii="Times New Roman" w:hAnsi="Times New Roman" w:cs="Times New Roman"/>
          <w:sz w:val="24"/>
          <w:szCs w:val="24"/>
        </w:rPr>
        <w:t xml:space="preserve"> </w:t>
      </w:r>
      <w:r w:rsidR="0055239E">
        <w:rPr>
          <w:rFonts w:ascii="Times New Roman" w:hAnsi="Times New Roman" w:cs="Times New Roman"/>
          <w:sz w:val="24"/>
          <w:szCs w:val="24"/>
        </w:rPr>
        <w:t>interconnection costs generally do not vary by size of the</w:t>
      </w:r>
      <w:r w:rsidR="0055239E" w:rsidRPr="0055239E">
        <w:rPr>
          <w:rFonts w:ascii="Times New Roman" w:hAnsi="Times New Roman" w:cs="Times New Roman"/>
          <w:sz w:val="24"/>
          <w:szCs w:val="24"/>
        </w:rPr>
        <w:t xml:space="preserve"> </w:t>
      </w:r>
      <w:r w:rsidR="0055239E">
        <w:rPr>
          <w:rFonts w:ascii="Times New Roman" w:hAnsi="Times New Roman" w:cs="Times New Roman"/>
          <w:sz w:val="24"/>
          <w:szCs w:val="24"/>
        </w:rPr>
        <w:t>Resource.</w:t>
      </w:r>
      <w:r w:rsidR="0055239E">
        <w:rPr>
          <w:rStyle w:val="FootnoteReference"/>
          <w:rFonts w:ascii="Times New Roman" w:hAnsi="Times New Roman" w:cs="Times New Roman"/>
          <w:sz w:val="24"/>
          <w:szCs w:val="24"/>
        </w:rPr>
        <w:footnoteReference w:id="9"/>
      </w:r>
    </w:p>
    <w:p w14:paraId="03EB59FB" w14:textId="28D52D04" w:rsidR="00284906" w:rsidRDefault="00D33904"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distinction between </w:t>
      </w:r>
      <w:r w:rsidR="000C54EA">
        <w:rPr>
          <w:rFonts w:ascii="Times New Roman" w:hAnsi="Times New Roman" w:cs="Times New Roman"/>
          <w:sz w:val="24"/>
          <w:szCs w:val="24"/>
        </w:rPr>
        <w:t xml:space="preserve">a solely wholesale </w:t>
      </w:r>
      <w:r>
        <w:rPr>
          <w:rFonts w:ascii="Times New Roman" w:hAnsi="Times New Roman" w:cs="Times New Roman"/>
          <w:sz w:val="24"/>
          <w:szCs w:val="24"/>
        </w:rPr>
        <w:t xml:space="preserve">market-facing DGRs and </w:t>
      </w:r>
      <w:r w:rsidR="000C54EA">
        <w:rPr>
          <w:rFonts w:ascii="Times New Roman" w:hAnsi="Times New Roman" w:cs="Times New Roman"/>
          <w:sz w:val="24"/>
          <w:szCs w:val="24"/>
        </w:rPr>
        <w:t xml:space="preserve">a primarily </w:t>
      </w:r>
      <w:r>
        <w:rPr>
          <w:rFonts w:ascii="Times New Roman" w:hAnsi="Times New Roman" w:cs="Times New Roman"/>
          <w:sz w:val="24"/>
          <w:szCs w:val="24"/>
        </w:rPr>
        <w:t xml:space="preserve">customer-facing DERs is critical as it </w:t>
      </w:r>
      <w:r w:rsidR="009F0643">
        <w:rPr>
          <w:rFonts w:ascii="Times New Roman" w:hAnsi="Times New Roman" w:cs="Times New Roman"/>
          <w:sz w:val="24"/>
          <w:szCs w:val="24"/>
        </w:rPr>
        <w:t xml:space="preserve">relates to the </w:t>
      </w:r>
      <w:r>
        <w:rPr>
          <w:rFonts w:ascii="Times New Roman" w:hAnsi="Times New Roman" w:cs="Times New Roman"/>
          <w:sz w:val="24"/>
          <w:szCs w:val="24"/>
        </w:rPr>
        <w:t xml:space="preserve">signals </w:t>
      </w:r>
      <w:r w:rsidR="000C54EA">
        <w:rPr>
          <w:rFonts w:ascii="Times New Roman" w:hAnsi="Times New Roman" w:cs="Times New Roman"/>
          <w:sz w:val="24"/>
          <w:szCs w:val="24"/>
        </w:rPr>
        <w:t>the allowance conveys to invest</w:t>
      </w:r>
      <w:r w:rsidR="009F0643">
        <w:rPr>
          <w:rFonts w:ascii="Times New Roman" w:hAnsi="Times New Roman" w:cs="Times New Roman"/>
          <w:sz w:val="24"/>
          <w:szCs w:val="24"/>
        </w:rPr>
        <w:t>ment</w:t>
      </w:r>
      <w:r w:rsidR="000C54EA">
        <w:rPr>
          <w:rFonts w:ascii="Times New Roman" w:hAnsi="Times New Roman" w:cs="Times New Roman"/>
          <w:sz w:val="24"/>
          <w:szCs w:val="24"/>
        </w:rPr>
        <w:t xml:space="preserve">. Should the Commission elect to permit an allowance to customer-facing DERs, rate payers would effectively be subsidizing a resource that the </w:t>
      </w:r>
      <w:r w:rsidR="009F0643">
        <w:rPr>
          <w:rFonts w:ascii="Times New Roman" w:hAnsi="Times New Roman" w:cs="Times New Roman"/>
          <w:sz w:val="24"/>
          <w:szCs w:val="24"/>
        </w:rPr>
        <w:t xml:space="preserve">future </w:t>
      </w:r>
      <w:r w:rsidR="000C54EA">
        <w:rPr>
          <w:rFonts w:ascii="Times New Roman" w:hAnsi="Times New Roman" w:cs="Times New Roman"/>
          <w:sz w:val="24"/>
          <w:szCs w:val="24"/>
        </w:rPr>
        <w:t>resource owner was likely to install</w:t>
      </w:r>
      <w:r w:rsidR="00B678A2">
        <w:rPr>
          <w:rFonts w:ascii="Times New Roman" w:hAnsi="Times New Roman" w:cs="Times New Roman"/>
          <w:sz w:val="24"/>
          <w:szCs w:val="24"/>
        </w:rPr>
        <w:t>,</w:t>
      </w:r>
      <w:r w:rsidR="000C54EA">
        <w:rPr>
          <w:rFonts w:ascii="Times New Roman" w:hAnsi="Times New Roman" w:cs="Times New Roman"/>
          <w:sz w:val="24"/>
          <w:szCs w:val="24"/>
        </w:rPr>
        <w:t xml:space="preserve"> irrespective</w:t>
      </w:r>
      <w:r w:rsidR="00082D0C">
        <w:rPr>
          <w:rFonts w:ascii="Times New Roman" w:hAnsi="Times New Roman" w:cs="Times New Roman"/>
          <w:sz w:val="24"/>
          <w:szCs w:val="24"/>
        </w:rPr>
        <w:t xml:space="preserve"> </w:t>
      </w:r>
      <w:r w:rsidR="007506EA">
        <w:rPr>
          <w:rFonts w:ascii="Times New Roman" w:hAnsi="Times New Roman" w:cs="Times New Roman"/>
          <w:sz w:val="24"/>
          <w:szCs w:val="24"/>
        </w:rPr>
        <w:t xml:space="preserve">of an </w:t>
      </w:r>
      <w:r w:rsidR="000C54EA">
        <w:rPr>
          <w:rFonts w:ascii="Times New Roman" w:hAnsi="Times New Roman" w:cs="Times New Roman"/>
          <w:sz w:val="24"/>
          <w:szCs w:val="24"/>
        </w:rPr>
        <w:t>allowance</w:t>
      </w:r>
      <w:r w:rsidR="00B678A2">
        <w:rPr>
          <w:rFonts w:ascii="Times New Roman" w:hAnsi="Times New Roman" w:cs="Times New Roman"/>
          <w:sz w:val="24"/>
          <w:szCs w:val="24"/>
        </w:rPr>
        <w:t>, for the purposes of reliability and resilience to their business or residence</w:t>
      </w:r>
      <w:r w:rsidR="000C54EA">
        <w:rPr>
          <w:rFonts w:ascii="Times New Roman" w:hAnsi="Times New Roman" w:cs="Times New Roman"/>
          <w:sz w:val="24"/>
          <w:szCs w:val="24"/>
        </w:rPr>
        <w:t>.</w:t>
      </w:r>
      <w:r w:rsidR="00B678A2">
        <w:rPr>
          <w:rFonts w:ascii="Times New Roman" w:hAnsi="Times New Roman" w:cs="Times New Roman"/>
          <w:sz w:val="24"/>
          <w:szCs w:val="24"/>
        </w:rPr>
        <w:t xml:space="preserve"> More </w:t>
      </w:r>
      <w:r w:rsidR="00BC110D">
        <w:rPr>
          <w:rFonts w:ascii="Times New Roman" w:hAnsi="Times New Roman" w:cs="Times New Roman"/>
          <w:sz w:val="24"/>
          <w:szCs w:val="24"/>
        </w:rPr>
        <w:t>succinctly</w:t>
      </w:r>
      <w:r w:rsidR="00B678A2">
        <w:rPr>
          <w:rFonts w:ascii="Times New Roman" w:hAnsi="Times New Roman" w:cs="Times New Roman"/>
          <w:sz w:val="24"/>
          <w:szCs w:val="24"/>
        </w:rPr>
        <w:t xml:space="preserve">, an allowance to customer-facing DERs provides more to those that already have the means. </w:t>
      </w:r>
      <w:r w:rsidR="000C54EA">
        <w:rPr>
          <w:rFonts w:ascii="Times New Roman" w:hAnsi="Times New Roman" w:cs="Times New Roman"/>
          <w:sz w:val="24"/>
          <w:szCs w:val="24"/>
        </w:rPr>
        <w:t>Conversely, merchant DGR investors</w:t>
      </w:r>
      <w:r w:rsidR="00B678A2">
        <w:rPr>
          <w:rFonts w:ascii="Times New Roman" w:hAnsi="Times New Roman" w:cs="Times New Roman"/>
          <w:sz w:val="24"/>
          <w:szCs w:val="24"/>
        </w:rPr>
        <w:t xml:space="preserve"> rely solely on regulatory certainty and market signals to invest in the ERCOT market, mirroring transmission interconnected resources. Without </w:t>
      </w:r>
      <w:r w:rsidR="00317421">
        <w:rPr>
          <w:rFonts w:ascii="Times New Roman" w:hAnsi="Times New Roman" w:cs="Times New Roman"/>
          <w:sz w:val="24"/>
          <w:szCs w:val="24"/>
        </w:rPr>
        <w:t>these two critical pieces, DGR</w:t>
      </w:r>
      <w:r w:rsidR="005B1B07">
        <w:rPr>
          <w:rFonts w:ascii="Times New Roman" w:hAnsi="Times New Roman" w:cs="Times New Roman"/>
          <w:sz w:val="24"/>
          <w:szCs w:val="24"/>
        </w:rPr>
        <w:t>/DESR Resources</w:t>
      </w:r>
      <w:r w:rsidR="00317421">
        <w:rPr>
          <w:rFonts w:ascii="Times New Roman" w:hAnsi="Times New Roman" w:cs="Times New Roman"/>
          <w:sz w:val="24"/>
          <w:szCs w:val="24"/>
        </w:rPr>
        <w:t xml:space="preserve"> will be unable to continue investments that are supportive of both the transmission and distribution grid. </w:t>
      </w:r>
      <w:r w:rsidR="000C54EA">
        <w:rPr>
          <w:rFonts w:ascii="Times New Roman" w:hAnsi="Times New Roman" w:cs="Times New Roman"/>
          <w:sz w:val="24"/>
          <w:szCs w:val="24"/>
        </w:rPr>
        <w:t xml:space="preserve">  </w:t>
      </w:r>
    </w:p>
    <w:p w14:paraId="2D6E69A2" w14:textId="209442ED" w:rsidR="00E56957" w:rsidRDefault="00E56957"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Regarding the amount of the allowance, Oncor</w:t>
      </w:r>
      <w:r w:rsidR="000A719B">
        <w:rPr>
          <w:rFonts w:ascii="Times New Roman" w:hAnsi="Times New Roman" w:cs="Times New Roman"/>
          <w:sz w:val="24"/>
          <w:szCs w:val="24"/>
        </w:rPr>
        <w:t xml:space="preserve"> </w:t>
      </w:r>
      <w:r>
        <w:rPr>
          <w:rFonts w:ascii="Times New Roman" w:hAnsi="Times New Roman" w:cs="Times New Roman"/>
          <w:sz w:val="24"/>
          <w:szCs w:val="24"/>
        </w:rPr>
        <w:t xml:space="preserve">included in its comments a list of the Contributions </w:t>
      </w:r>
      <w:proofErr w:type="gramStart"/>
      <w:r>
        <w:rPr>
          <w:rFonts w:ascii="Times New Roman" w:hAnsi="Times New Roman" w:cs="Times New Roman"/>
          <w:sz w:val="24"/>
          <w:szCs w:val="24"/>
        </w:rPr>
        <w:t>In</w:t>
      </w:r>
      <w:proofErr w:type="gramEnd"/>
      <w:r>
        <w:rPr>
          <w:rFonts w:ascii="Times New Roman" w:hAnsi="Times New Roman" w:cs="Times New Roman"/>
          <w:sz w:val="24"/>
          <w:szCs w:val="24"/>
        </w:rPr>
        <w:t xml:space="preserve"> Aid of Construction (“CIAC”) </w:t>
      </w:r>
      <w:r w:rsidR="000A719B">
        <w:rPr>
          <w:rFonts w:ascii="Times New Roman" w:hAnsi="Times New Roman" w:cs="Times New Roman"/>
          <w:sz w:val="24"/>
          <w:szCs w:val="24"/>
        </w:rPr>
        <w:t>that it has charged DESRs</w:t>
      </w:r>
      <w:r w:rsidR="00492909">
        <w:rPr>
          <w:rFonts w:ascii="Times New Roman" w:hAnsi="Times New Roman" w:cs="Times New Roman"/>
          <w:sz w:val="24"/>
          <w:szCs w:val="24"/>
        </w:rPr>
        <w:t>,</w:t>
      </w:r>
      <w:r w:rsidR="000A719B">
        <w:rPr>
          <w:rFonts w:ascii="Times New Roman" w:hAnsi="Times New Roman" w:cs="Times New Roman"/>
          <w:sz w:val="24"/>
          <w:szCs w:val="24"/>
        </w:rPr>
        <w:t xml:space="preserve"> noting that nearly all of the amounts have been below the </w:t>
      </w:r>
      <w:r w:rsidR="00F91072">
        <w:rPr>
          <w:rFonts w:ascii="Times New Roman" w:hAnsi="Times New Roman" w:cs="Times New Roman"/>
          <w:sz w:val="24"/>
          <w:szCs w:val="24"/>
        </w:rPr>
        <w:t xml:space="preserve">proposed $1.5M.  It should be recognized however that for DESRs, Oncor currently applies </w:t>
      </w:r>
      <w:r w:rsidR="0074189D">
        <w:rPr>
          <w:rFonts w:ascii="Times New Roman" w:hAnsi="Times New Roman" w:cs="Times New Roman"/>
          <w:sz w:val="24"/>
          <w:szCs w:val="24"/>
        </w:rPr>
        <w:t xml:space="preserve">a smaller load interconnection allowance.  </w:t>
      </w:r>
      <w:r w:rsidR="0052643B">
        <w:rPr>
          <w:rFonts w:ascii="Times New Roman" w:hAnsi="Times New Roman" w:cs="Times New Roman"/>
          <w:sz w:val="24"/>
          <w:szCs w:val="24"/>
        </w:rPr>
        <w:t xml:space="preserve">The amounts shown by Oncor reflect that load allowance and thus </w:t>
      </w:r>
      <w:r w:rsidR="00082B20">
        <w:rPr>
          <w:rFonts w:ascii="Times New Roman" w:hAnsi="Times New Roman" w:cs="Times New Roman"/>
          <w:sz w:val="24"/>
          <w:szCs w:val="24"/>
        </w:rPr>
        <w:t>would be higher without that allowance incorporated.</w:t>
      </w:r>
      <w:r w:rsidR="00082B20">
        <w:rPr>
          <w:rStyle w:val="FootnoteReference"/>
          <w:rFonts w:ascii="Times New Roman" w:hAnsi="Times New Roman" w:cs="Times New Roman"/>
          <w:sz w:val="24"/>
          <w:szCs w:val="24"/>
        </w:rPr>
        <w:footnoteReference w:id="10"/>
      </w:r>
      <w:r w:rsidR="00E3600A">
        <w:rPr>
          <w:rFonts w:ascii="Times New Roman" w:hAnsi="Times New Roman" w:cs="Times New Roman"/>
          <w:sz w:val="24"/>
          <w:szCs w:val="24"/>
        </w:rPr>
        <w:t xml:space="preserve">  This means that </w:t>
      </w:r>
      <w:r w:rsidR="00D2305E">
        <w:rPr>
          <w:rFonts w:ascii="Times New Roman" w:hAnsi="Times New Roman" w:cs="Times New Roman"/>
          <w:sz w:val="24"/>
          <w:szCs w:val="24"/>
        </w:rPr>
        <w:t>some of the projects shown in the list would be approaching or exceeding the standard allowance.</w:t>
      </w:r>
      <w:r w:rsidR="00CD4ECA">
        <w:rPr>
          <w:rFonts w:ascii="Times New Roman" w:hAnsi="Times New Roman" w:cs="Times New Roman"/>
          <w:sz w:val="24"/>
          <w:szCs w:val="24"/>
        </w:rPr>
        <w:t xml:space="preserve"> </w:t>
      </w:r>
      <w:r w:rsidR="00D2305E">
        <w:rPr>
          <w:rFonts w:ascii="Times New Roman" w:hAnsi="Times New Roman" w:cs="Times New Roman"/>
          <w:sz w:val="24"/>
          <w:szCs w:val="24"/>
        </w:rPr>
        <w:t>(</w:t>
      </w:r>
      <w:r w:rsidR="00CD4ECA">
        <w:rPr>
          <w:rFonts w:ascii="Times New Roman" w:hAnsi="Times New Roman" w:cs="Times New Roman"/>
          <w:sz w:val="24"/>
          <w:szCs w:val="24"/>
        </w:rPr>
        <w:t xml:space="preserve">On that note, HEN recommends that only one allowance should apply </w:t>
      </w:r>
      <w:r w:rsidR="006225F7">
        <w:rPr>
          <w:rFonts w:ascii="Times New Roman" w:hAnsi="Times New Roman" w:cs="Times New Roman"/>
          <w:sz w:val="24"/>
          <w:szCs w:val="24"/>
        </w:rPr>
        <w:t xml:space="preserve">to a DESR and if the Commission adopts a standard </w:t>
      </w:r>
      <w:r w:rsidR="00E3600A">
        <w:rPr>
          <w:rFonts w:ascii="Times New Roman" w:hAnsi="Times New Roman" w:cs="Times New Roman"/>
          <w:sz w:val="24"/>
          <w:szCs w:val="24"/>
        </w:rPr>
        <w:t xml:space="preserve">DGR/DESR interconnection allowance, then the </w:t>
      </w:r>
      <w:r w:rsidR="00D2305E">
        <w:rPr>
          <w:rFonts w:ascii="Times New Roman" w:hAnsi="Times New Roman" w:cs="Times New Roman"/>
          <w:sz w:val="24"/>
          <w:szCs w:val="24"/>
        </w:rPr>
        <w:t>load allowance should be removed).</w:t>
      </w:r>
    </w:p>
    <w:p w14:paraId="3144379F" w14:textId="72D8450D" w:rsidR="00D2305E" w:rsidRDefault="00EA1796"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HEN also notes that in its experience, other utilities charge higher CIACs </w:t>
      </w:r>
      <w:r w:rsidR="00C162B8">
        <w:rPr>
          <w:rFonts w:ascii="Times New Roman" w:hAnsi="Times New Roman" w:cs="Times New Roman"/>
          <w:sz w:val="24"/>
          <w:szCs w:val="24"/>
        </w:rPr>
        <w:t xml:space="preserve">for interconnection.  This is particularly true for </w:t>
      </w:r>
      <w:r w:rsidR="00486E66">
        <w:rPr>
          <w:rFonts w:ascii="Times New Roman" w:hAnsi="Times New Roman" w:cs="Times New Roman"/>
          <w:sz w:val="24"/>
          <w:szCs w:val="24"/>
        </w:rPr>
        <w:t>utilities that require additional interconnection equipment</w:t>
      </w:r>
      <w:r w:rsidR="00F37589">
        <w:rPr>
          <w:rFonts w:ascii="Times New Roman" w:hAnsi="Times New Roman" w:cs="Times New Roman"/>
          <w:sz w:val="24"/>
          <w:szCs w:val="24"/>
        </w:rPr>
        <w:t xml:space="preserve">, such as transfer trip protection schemes.  As noted by GRIT, </w:t>
      </w:r>
      <w:r w:rsidR="00B12B94">
        <w:rPr>
          <w:rFonts w:ascii="Times New Roman" w:hAnsi="Times New Roman" w:cs="Times New Roman"/>
          <w:sz w:val="24"/>
          <w:szCs w:val="24"/>
        </w:rPr>
        <w:t>transfer trip requirements (which are not required by all utilities) can add an additional</w:t>
      </w:r>
      <w:r w:rsidR="00772DF7">
        <w:rPr>
          <w:rFonts w:ascii="Times New Roman" w:hAnsi="Times New Roman" w:cs="Times New Roman"/>
          <w:sz w:val="24"/>
          <w:szCs w:val="24"/>
        </w:rPr>
        <w:t xml:space="preserve"> </w:t>
      </w:r>
      <w:r w:rsidR="00D5682B">
        <w:rPr>
          <w:rFonts w:ascii="Times New Roman" w:hAnsi="Times New Roman" w:cs="Times New Roman"/>
          <w:sz w:val="24"/>
          <w:szCs w:val="24"/>
        </w:rPr>
        <w:t>several hundred thousand dollars</w:t>
      </w:r>
      <w:r w:rsidR="00772DF7">
        <w:rPr>
          <w:rFonts w:ascii="Times New Roman" w:hAnsi="Times New Roman" w:cs="Times New Roman"/>
          <w:sz w:val="24"/>
          <w:szCs w:val="24"/>
        </w:rPr>
        <w:t xml:space="preserve"> to the interconnection costs.</w:t>
      </w:r>
      <w:r w:rsidR="00987D20">
        <w:rPr>
          <w:rStyle w:val="FootnoteReference"/>
          <w:rFonts w:ascii="Times New Roman" w:hAnsi="Times New Roman" w:cs="Times New Roman"/>
          <w:sz w:val="24"/>
          <w:szCs w:val="24"/>
        </w:rPr>
        <w:footnoteReference w:id="11"/>
      </w:r>
      <w:r w:rsidR="00772DF7">
        <w:rPr>
          <w:rFonts w:ascii="Times New Roman" w:hAnsi="Times New Roman" w:cs="Times New Roman"/>
          <w:sz w:val="24"/>
          <w:szCs w:val="24"/>
        </w:rPr>
        <w:t xml:space="preserve">  As part of its review of interconnection policies for DERs, HEN encourages the Commission to standardize the </w:t>
      </w:r>
      <w:r w:rsidR="00D63BC0">
        <w:rPr>
          <w:rFonts w:ascii="Times New Roman" w:hAnsi="Times New Roman" w:cs="Times New Roman"/>
          <w:sz w:val="24"/>
          <w:szCs w:val="24"/>
        </w:rPr>
        <w:t>interconnection requirements to address this disparity.</w:t>
      </w:r>
      <w:r w:rsidR="00486E66">
        <w:rPr>
          <w:rFonts w:ascii="Times New Roman" w:hAnsi="Times New Roman" w:cs="Times New Roman"/>
          <w:sz w:val="24"/>
          <w:szCs w:val="24"/>
        </w:rPr>
        <w:t xml:space="preserve"> </w:t>
      </w:r>
      <w:r w:rsidR="007506EA">
        <w:rPr>
          <w:rFonts w:ascii="Times New Roman" w:hAnsi="Times New Roman" w:cs="Times New Roman"/>
          <w:sz w:val="24"/>
          <w:szCs w:val="24"/>
        </w:rPr>
        <w:t xml:space="preserve">This issue can be easily addressed in the pending draft rule in this Project that Staff worked through with stakeholders last summer.  </w:t>
      </w:r>
    </w:p>
    <w:p w14:paraId="1704A4E1" w14:textId="4D8E24CE" w:rsidR="00995512" w:rsidRDefault="00771814" w:rsidP="00771814">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D786E">
        <w:rPr>
          <w:rFonts w:ascii="Times New Roman" w:hAnsi="Times New Roman" w:cs="Times New Roman"/>
          <w:sz w:val="24"/>
          <w:szCs w:val="24"/>
        </w:rPr>
        <w:t xml:space="preserve"> </w:t>
      </w:r>
    </w:p>
    <w:p w14:paraId="1B4E671A" w14:textId="77777777" w:rsidR="002A6B37" w:rsidRPr="00A91548" w:rsidRDefault="002A6B37" w:rsidP="002A6B37">
      <w:pPr>
        <w:spacing w:line="360" w:lineRule="auto"/>
        <w:jc w:val="both"/>
        <w:rPr>
          <w:rFonts w:ascii="Times New Roman" w:hAnsi="Times New Roman" w:cs="Times New Roman"/>
          <w:b/>
          <w:bCs/>
          <w:i/>
          <w:iCs/>
          <w:sz w:val="24"/>
          <w:szCs w:val="24"/>
        </w:rPr>
      </w:pPr>
      <w:r w:rsidRPr="00A91548">
        <w:rPr>
          <w:rFonts w:ascii="Times New Roman" w:hAnsi="Times New Roman" w:cs="Times New Roman"/>
          <w:b/>
          <w:bCs/>
          <w:i/>
          <w:iCs/>
          <w:sz w:val="24"/>
          <w:szCs w:val="24"/>
        </w:rPr>
        <w:lastRenderedPageBreak/>
        <w:t xml:space="preserve">Question 4: How should the interconnection costs covered by such an allowance be reallocated? What effects would this have on other customers? </w:t>
      </w:r>
    </w:p>
    <w:p w14:paraId="43DFC967" w14:textId="707DE097" w:rsidR="00E213E8" w:rsidRDefault="007779F1" w:rsidP="00016E6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Several commenters raised questions whether </w:t>
      </w:r>
      <w:r w:rsidR="00016E61">
        <w:rPr>
          <w:rFonts w:ascii="Times New Roman" w:hAnsi="Times New Roman" w:cs="Times New Roman"/>
          <w:sz w:val="24"/>
          <w:szCs w:val="24"/>
        </w:rPr>
        <w:t xml:space="preserve">interconnection allowance costs should be uplifted to other customers through the existing TCOS mechanism. </w:t>
      </w:r>
      <w:r w:rsidR="002B343F">
        <w:rPr>
          <w:rFonts w:ascii="Times New Roman" w:hAnsi="Times New Roman" w:cs="Times New Roman"/>
          <w:sz w:val="24"/>
          <w:szCs w:val="24"/>
        </w:rPr>
        <w:t xml:space="preserve"> TIEC, for example, </w:t>
      </w:r>
      <w:r w:rsidR="00B31428">
        <w:rPr>
          <w:rFonts w:ascii="Times New Roman" w:hAnsi="Times New Roman" w:cs="Times New Roman"/>
          <w:sz w:val="24"/>
          <w:szCs w:val="24"/>
        </w:rPr>
        <w:t xml:space="preserve">questioned whether </w:t>
      </w:r>
      <w:r w:rsidR="0031525B">
        <w:rPr>
          <w:rFonts w:ascii="Times New Roman" w:hAnsi="Times New Roman" w:cs="Times New Roman"/>
          <w:sz w:val="24"/>
          <w:szCs w:val="24"/>
        </w:rPr>
        <w:t>other ERCOT customers benefit from the interconnection of DERs.</w:t>
      </w:r>
      <w:r w:rsidR="0031525B">
        <w:rPr>
          <w:rStyle w:val="FootnoteReference"/>
          <w:rFonts w:ascii="Times New Roman" w:hAnsi="Times New Roman" w:cs="Times New Roman"/>
          <w:sz w:val="24"/>
          <w:szCs w:val="24"/>
        </w:rPr>
        <w:footnoteReference w:id="12"/>
      </w:r>
      <w:r w:rsidR="00016E61">
        <w:rPr>
          <w:rFonts w:ascii="Times New Roman" w:hAnsi="Times New Roman" w:cs="Times New Roman"/>
          <w:sz w:val="24"/>
          <w:szCs w:val="24"/>
        </w:rPr>
        <w:t xml:space="preserve"> </w:t>
      </w:r>
      <w:r w:rsidR="00F02FAF">
        <w:rPr>
          <w:rFonts w:ascii="Times New Roman" w:hAnsi="Times New Roman" w:cs="Times New Roman"/>
          <w:sz w:val="24"/>
          <w:szCs w:val="24"/>
        </w:rPr>
        <w:t xml:space="preserve"> </w:t>
      </w:r>
      <w:r w:rsidR="00553700">
        <w:rPr>
          <w:rFonts w:ascii="Times New Roman" w:hAnsi="Times New Roman" w:cs="Times New Roman"/>
          <w:sz w:val="24"/>
          <w:szCs w:val="24"/>
        </w:rPr>
        <w:t xml:space="preserve"> HEN agrees that it is reasonable to consider the </w:t>
      </w:r>
      <w:r w:rsidR="00F02FAF">
        <w:rPr>
          <w:rFonts w:ascii="Times New Roman" w:hAnsi="Times New Roman" w:cs="Times New Roman"/>
          <w:sz w:val="24"/>
          <w:szCs w:val="24"/>
        </w:rPr>
        <w:t xml:space="preserve">type and purpose of the DER when deciding whether an allowance is appropriate and whether the costs should be </w:t>
      </w:r>
      <w:r w:rsidR="00145638">
        <w:rPr>
          <w:rFonts w:ascii="Times New Roman" w:hAnsi="Times New Roman" w:cs="Times New Roman"/>
          <w:sz w:val="24"/>
          <w:szCs w:val="24"/>
        </w:rPr>
        <w:t>recovered through TCOS.</w:t>
      </w:r>
      <w:r w:rsidR="00C11C62">
        <w:rPr>
          <w:rFonts w:ascii="Times New Roman" w:hAnsi="Times New Roman" w:cs="Times New Roman"/>
          <w:sz w:val="24"/>
          <w:szCs w:val="24"/>
        </w:rPr>
        <w:t xml:space="preserve"> HEN recognizes that DERs co-located with load </w:t>
      </w:r>
      <w:r w:rsidR="00BA067C">
        <w:rPr>
          <w:rFonts w:ascii="Times New Roman" w:hAnsi="Times New Roman" w:cs="Times New Roman"/>
          <w:sz w:val="24"/>
          <w:szCs w:val="24"/>
        </w:rPr>
        <w:t>that are</w:t>
      </w:r>
      <w:r w:rsidR="00C11C62">
        <w:rPr>
          <w:rFonts w:ascii="Times New Roman" w:hAnsi="Times New Roman" w:cs="Times New Roman"/>
          <w:sz w:val="24"/>
          <w:szCs w:val="24"/>
        </w:rPr>
        <w:t xml:space="preserve"> not solely dedicated to providing energy and ancillary services to the market, but are serving other purposes for that on-site load, </w:t>
      </w:r>
      <w:r w:rsidR="00003268">
        <w:rPr>
          <w:rFonts w:ascii="Times New Roman" w:hAnsi="Times New Roman" w:cs="Times New Roman"/>
          <w:sz w:val="24"/>
          <w:szCs w:val="24"/>
        </w:rPr>
        <w:t xml:space="preserve">are </w:t>
      </w:r>
      <w:r w:rsidR="0026750E">
        <w:rPr>
          <w:rFonts w:ascii="Times New Roman" w:hAnsi="Times New Roman" w:cs="Times New Roman"/>
          <w:sz w:val="24"/>
          <w:szCs w:val="24"/>
        </w:rPr>
        <w:t>differently situated</w:t>
      </w:r>
      <w:r w:rsidR="00003268">
        <w:rPr>
          <w:rFonts w:ascii="Times New Roman" w:hAnsi="Times New Roman" w:cs="Times New Roman"/>
          <w:sz w:val="24"/>
          <w:szCs w:val="24"/>
        </w:rPr>
        <w:t xml:space="preserve"> from </w:t>
      </w:r>
      <w:r w:rsidR="008C08C6">
        <w:rPr>
          <w:rFonts w:ascii="Times New Roman" w:hAnsi="Times New Roman" w:cs="Times New Roman"/>
          <w:sz w:val="24"/>
          <w:szCs w:val="24"/>
        </w:rPr>
        <w:t>DGR</w:t>
      </w:r>
      <w:r w:rsidR="00280E0D">
        <w:rPr>
          <w:rFonts w:ascii="Times New Roman" w:hAnsi="Times New Roman" w:cs="Times New Roman"/>
          <w:sz w:val="24"/>
          <w:szCs w:val="24"/>
        </w:rPr>
        <w:t>s</w:t>
      </w:r>
      <w:r w:rsidR="008C08C6">
        <w:rPr>
          <w:rFonts w:ascii="Times New Roman" w:hAnsi="Times New Roman" w:cs="Times New Roman"/>
          <w:sz w:val="24"/>
          <w:szCs w:val="24"/>
        </w:rPr>
        <w:t xml:space="preserve"> and DESRs that are solely serv</w:t>
      </w:r>
      <w:r w:rsidR="00F73F58">
        <w:rPr>
          <w:rFonts w:ascii="Times New Roman" w:hAnsi="Times New Roman" w:cs="Times New Roman"/>
          <w:sz w:val="24"/>
          <w:szCs w:val="24"/>
        </w:rPr>
        <w:t>ing the ERCOT market</w:t>
      </w:r>
      <w:r w:rsidR="00E213E8">
        <w:rPr>
          <w:rFonts w:ascii="Times New Roman" w:hAnsi="Times New Roman" w:cs="Times New Roman"/>
          <w:sz w:val="24"/>
          <w:szCs w:val="24"/>
        </w:rPr>
        <w:t xml:space="preserve"> and should be treated differently</w:t>
      </w:r>
      <w:r w:rsidR="00F73F58">
        <w:rPr>
          <w:rFonts w:ascii="Times New Roman" w:hAnsi="Times New Roman" w:cs="Times New Roman"/>
          <w:sz w:val="24"/>
          <w:szCs w:val="24"/>
        </w:rPr>
        <w:t>.</w:t>
      </w:r>
    </w:p>
    <w:p w14:paraId="67D12163" w14:textId="281DE8EF" w:rsidR="000C5EA5" w:rsidRDefault="00145638" w:rsidP="00016E6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ERCOT-registered Resources</w:t>
      </w:r>
      <w:r w:rsidR="00AC5521">
        <w:rPr>
          <w:rFonts w:ascii="Times New Roman" w:hAnsi="Times New Roman" w:cs="Times New Roman"/>
          <w:sz w:val="24"/>
          <w:szCs w:val="24"/>
        </w:rPr>
        <w:t xml:space="preserve"> – DGRs and DESRs – are providing services to the entire ERCOT market.</w:t>
      </w:r>
      <w:r w:rsidR="00F85BC8">
        <w:rPr>
          <w:rFonts w:ascii="Times New Roman" w:hAnsi="Times New Roman" w:cs="Times New Roman"/>
          <w:sz w:val="24"/>
          <w:szCs w:val="24"/>
        </w:rPr>
        <w:t xml:space="preserve">  These Resources provide ancillary services</w:t>
      </w:r>
      <w:r w:rsidR="000D5C27">
        <w:rPr>
          <w:rFonts w:ascii="Times New Roman" w:hAnsi="Times New Roman" w:cs="Times New Roman"/>
          <w:sz w:val="24"/>
          <w:szCs w:val="24"/>
        </w:rPr>
        <w:t xml:space="preserve"> to ERCOT</w:t>
      </w:r>
      <w:r w:rsidR="00F85BC8">
        <w:rPr>
          <w:rFonts w:ascii="Times New Roman" w:hAnsi="Times New Roman" w:cs="Times New Roman"/>
          <w:sz w:val="24"/>
          <w:szCs w:val="24"/>
        </w:rPr>
        <w:t>, which are procured on an ERCOT-wide basis and are not specific to</w:t>
      </w:r>
      <w:r w:rsidR="00237A27">
        <w:rPr>
          <w:rFonts w:ascii="Times New Roman" w:hAnsi="Times New Roman" w:cs="Times New Roman"/>
          <w:sz w:val="24"/>
          <w:szCs w:val="24"/>
        </w:rPr>
        <w:t xml:space="preserve"> the</w:t>
      </w:r>
      <w:r w:rsidR="00F85BC8">
        <w:rPr>
          <w:rFonts w:ascii="Times New Roman" w:hAnsi="Times New Roman" w:cs="Times New Roman"/>
          <w:sz w:val="24"/>
          <w:szCs w:val="24"/>
        </w:rPr>
        <w:t xml:space="preserve"> location or voltage</w:t>
      </w:r>
      <w:r w:rsidR="00237A27">
        <w:rPr>
          <w:rFonts w:ascii="Times New Roman" w:hAnsi="Times New Roman" w:cs="Times New Roman"/>
          <w:sz w:val="24"/>
          <w:szCs w:val="24"/>
        </w:rPr>
        <w:t xml:space="preserve"> of the Resource</w:t>
      </w:r>
      <w:r w:rsidR="000D5C27">
        <w:rPr>
          <w:rFonts w:ascii="Times New Roman" w:hAnsi="Times New Roman" w:cs="Times New Roman"/>
          <w:sz w:val="24"/>
          <w:szCs w:val="24"/>
        </w:rPr>
        <w:t xml:space="preserve">.  All ERCOT customers benefit from </w:t>
      </w:r>
      <w:r w:rsidR="00A70DA7">
        <w:rPr>
          <w:rFonts w:ascii="Times New Roman" w:hAnsi="Times New Roman" w:cs="Times New Roman"/>
          <w:sz w:val="24"/>
          <w:szCs w:val="24"/>
        </w:rPr>
        <w:t>a greater supply of ancillary services because this enhances competition and drives down ancillary service</w:t>
      </w:r>
      <w:r w:rsidR="00B46AFE">
        <w:rPr>
          <w:rFonts w:ascii="Times New Roman" w:hAnsi="Times New Roman" w:cs="Times New Roman"/>
          <w:sz w:val="24"/>
          <w:szCs w:val="24"/>
        </w:rPr>
        <w:t xml:space="preserve"> cost</w:t>
      </w:r>
      <w:r w:rsidR="00A70DA7">
        <w:rPr>
          <w:rFonts w:ascii="Times New Roman" w:hAnsi="Times New Roman" w:cs="Times New Roman"/>
          <w:sz w:val="24"/>
          <w:szCs w:val="24"/>
        </w:rPr>
        <w:t>s that all retail customers pay.</w:t>
      </w:r>
      <w:r w:rsidR="003872A9">
        <w:rPr>
          <w:rFonts w:ascii="Times New Roman" w:hAnsi="Times New Roman" w:cs="Times New Roman"/>
          <w:sz w:val="24"/>
          <w:szCs w:val="24"/>
        </w:rPr>
        <w:t xml:space="preserve">  Similarly, </w:t>
      </w:r>
      <w:r w:rsidR="002C3235">
        <w:rPr>
          <w:rFonts w:ascii="Times New Roman" w:hAnsi="Times New Roman" w:cs="Times New Roman"/>
          <w:sz w:val="24"/>
          <w:szCs w:val="24"/>
        </w:rPr>
        <w:t xml:space="preserve">ERCOT awards </w:t>
      </w:r>
      <w:r w:rsidR="000355C0">
        <w:rPr>
          <w:rFonts w:ascii="Times New Roman" w:hAnsi="Times New Roman" w:cs="Times New Roman"/>
          <w:sz w:val="24"/>
          <w:szCs w:val="24"/>
        </w:rPr>
        <w:t xml:space="preserve">offers for </w:t>
      </w:r>
      <w:r w:rsidR="003872A9">
        <w:rPr>
          <w:rFonts w:ascii="Times New Roman" w:hAnsi="Times New Roman" w:cs="Times New Roman"/>
          <w:sz w:val="24"/>
          <w:szCs w:val="24"/>
        </w:rPr>
        <w:t xml:space="preserve">SCED-dispatched energy </w:t>
      </w:r>
      <w:r w:rsidR="000355C0">
        <w:rPr>
          <w:rFonts w:ascii="Times New Roman" w:hAnsi="Times New Roman" w:cs="Times New Roman"/>
          <w:sz w:val="24"/>
          <w:szCs w:val="24"/>
        </w:rPr>
        <w:t>from all ERCOT-registered Resource, regardless of the voltage.</w:t>
      </w:r>
      <w:r w:rsidR="000567FF">
        <w:rPr>
          <w:rFonts w:ascii="Times New Roman" w:hAnsi="Times New Roman" w:cs="Times New Roman"/>
          <w:sz w:val="24"/>
          <w:szCs w:val="24"/>
        </w:rPr>
        <w:t xml:space="preserve">  More competition in energy supply also drives down prices.</w:t>
      </w:r>
      <w:r w:rsidR="000355C0">
        <w:rPr>
          <w:rFonts w:ascii="Times New Roman" w:hAnsi="Times New Roman" w:cs="Times New Roman"/>
          <w:sz w:val="24"/>
          <w:szCs w:val="24"/>
        </w:rPr>
        <w:t xml:space="preserve">  </w:t>
      </w:r>
    </w:p>
    <w:p w14:paraId="26190CB7" w14:textId="1E7DD7D7" w:rsidR="00141F11" w:rsidRDefault="000567FF" w:rsidP="00016E6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At a time when ERCOT needs more dispatchable resources, it is reasonable to encourage the development of this subset of </w:t>
      </w:r>
      <w:r w:rsidR="0026750E">
        <w:rPr>
          <w:rFonts w:ascii="Times New Roman" w:hAnsi="Times New Roman" w:cs="Times New Roman"/>
          <w:sz w:val="24"/>
          <w:szCs w:val="24"/>
        </w:rPr>
        <w:t>DGRs</w:t>
      </w:r>
      <w:r>
        <w:rPr>
          <w:rFonts w:ascii="Times New Roman" w:hAnsi="Times New Roman" w:cs="Times New Roman"/>
          <w:sz w:val="24"/>
          <w:szCs w:val="24"/>
        </w:rPr>
        <w:t xml:space="preserve">, which are </w:t>
      </w:r>
      <w:r w:rsidR="00480B13">
        <w:rPr>
          <w:rFonts w:ascii="Times New Roman" w:hAnsi="Times New Roman" w:cs="Times New Roman"/>
          <w:sz w:val="24"/>
          <w:szCs w:val="24"/>
        </w:rPr>
        <w:t xml:space="preserve">fully participating in the ERCOT markets, providing benefits to all customers within the ERCOT system.  </w:t>
      </w:r>
      <w:r w:rsidR="00D259FD">
        <w:rPr>
          <w:rFonts w:ascii="Times New Roman" w:hAnsi="Times New Roman" w:cs="Times New Roman"/>
          <w:sz w:val="24"/>
          <w:szCs w:val="24"/>
        </w:rPr>
        <w:t xml:space="preserve">The standard allowance </w:t>
      </w:r>
      <w:r w:rsidR="00AA2B7E">
        <w:rPr>
          <w:rFonts w:ascii="Times New Roman" w:hAnsi="Times New Roman" w:cs="Times New Roman"/>
          <w:sz w:val="24"/>
          <w:szCs w:val="24"/>
        </w:rPr>
        <w:t xml:space="preserve">places these </w:t>
      </w:r>
      <w:r w:rsidR="000C5EA5">
        <w:rPr>
          <w:rFonts w:ascii="Times New Roman" w:hAnsi="Times New Roman" w:cs="Times New Roman"/>
          <w:sz w:val="24"/>
          <w:szCs w:val="24"/>
        </w:rPr>
        <w:t xml:space="preserve">DGR and DESR </w:t>
      </w:r>
      <w:r w:rsidR="00AA2B7E">
        <w:rPr>
          <w:rFonts w:ascii="Times New Roman" w:hAnsi="Times New Roman" w:cs="Times New Roman"/>
          <w:sz w:val="24"/>
          <w:szCs w:val="24"/>
        </w:rPr>
        <w:t xml:space="preserve">Resources at parity with transmission-connected </w:t>
      </w:r>
      <w:r w:rsidR="00634A92">
        <w:rPr>
          <w:rFonts w:ascii="Times New Roman" w:hAnsi="Times New Roman" w:cs="Times New Roman"/>
          <w:sz w:val="24"/>
          <w:szCs w:val="24"/>
        </w:rPr>
        <w:t>R</w:t>
      </w:r>
      <w:r w:rsidR="00AA2B7E">
        <w:rPr>
          <w:rFonts w:ascii="Times New Roman" w:hAnsi="Times New Roman" w:cs="Times New Roman"/>
          <w:sz w:val="24"/>
          <w:szCs w:val="24"/>
        </w:rPr>
        <w:t>esources that are also serving the ERCOT market</w:t>
      </w:r>
      <w:r w:rsidR="0049521C">
        <w:rPr>
          <w:rFonts w:ascii="Times New Roman" w:hAnsi="Times New Roman" w:cs="Times New Roman"/>
          <w:sz w:val="24"/>
          <w:szCs w:val="24"/>
        </w:rPr>
        <w:t xml:space="preserve">.  </w:t>
      </w:r>
    </w:p>
    <w:p w14:paraId="4BA33383" w14:textId="7A33BF30" w:rsidR="00B35302" w:rsidRDefault="0049521C" w:rsidP="00016E6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Further,</w:t>
      </w:r>
      <w:r w:rsidR="00FC6CD1">
        <w:rPr>
          <w:rFonts w:ascii="Times New Roman" w:hAnsi="Times New Roman" w:cs="Times New Roman"/>
          <w:sz w:val="24"/>
          <w:szCs w:val="24"/>
        </w:rPr>
        <w:t xml:space="preserve"> it is reasonable to recover these interconnection costs through TCOS, since </w:t>
      </w:r>
      <w:r w:rsidR="002454B3">
        <w:rPr>
          <w:rFonts w:ascii="Times New Roman" w:hAnsi="Times New Roman" w:cs="Times New Roman"/>
          <w:sz w:val="24"/>
          <w:szCs w:val="24"/>
        </w:rPr>
        <w:t>the allowance would be a term and condition established by the Commission to foster non-discriminatory wholesale transmission service</w:t>
      </w:r>
      <w:r w:rsidR="00DA4549">
        <w:rPr>
          <w:rFonts w:ascii="Times New Roman" w:hAnsi="Times New Roman" w:cs="Times New Roman"/>
          <w:sz w:val="24"/>
          <w:szCs w:val="24"/>
        </w:rPr>
        <w:t>. (As stated earlier, “transmission service” by statutory definition is not limited solely to tr</w:t>
      </w:r>
      <w:r w:rsidR="007851AC">
        <w:rPr>
          <w:rFonts w:ascii="Times New Roman" w:hAnsi="Times New Roman" w:cs="Times New Roman"/>
          <w:sz w:val="24"/>
          <w:szCs w:val="24"/>
        </w:rPr>
        <w:t>ansmission voltage facilities.)</w:t>
      </w:r>
      <w:r w:rsidR="005D5B22">
        <w:rPr>
          <w:rFonts w:ascii="Times New Roman" w:hAnsi="Times New Roman" w:cs="Times New Roman"/>
          <w:sz w:val="24"/>
          <w:szCs w:val="24"/>
        </w:rPr>
        <w:t xml:space="preserve">  </w:t>
      </w:r>
      <w:r w:rsidR="0062466F">
        <w:rPr>
          <w:rFonts w:ascii="Times New Roman" w:hAnsi="Times New Roman" w:cs="Times New Roman"/>
          <w:sz w:val="24"/>
          <w:szCs w:val="24"/>
        </w:rPr>
        <w:t>S</w:t>
      </w:r>
      <w:r w:rsidR="005D5B22">
        <w:rPr>
          <w:rFonts w:ascii="Times New Roman" w:hAnsi="Times New Roman" w:cs="Times New Roman"/>
          <w:sz w:val="24"/>
          <w:szCs w:val="24"/>
        </w:rPr>
        <w:t>everal comment</w:t>
      </w:r>
      <w:r w:rsidR="0092443D">
        <w:rPr>
          <w:rFonts w:ascii="Times New Roman" w:hAnsi="Times New Roman" w:cs="Times New Roman"/>
          <w:sz w:val="24"/>
          <w:szCs w:val="24"/>
        </w:rPr>
        <w:t>ators, including Oncor</w:t>
      </w:r>
      <w:r w:rsidR="005153A5">
        <w:rPr>
          <w:rFonts w:ascii="Times New Roman" w:hAnsi="Times New Roman" w:cs="Times New Roman"/>
          <w:sz w:val="24"/>
          <w:szCs w:val="24"/>
        </w:rPr>
        <w:t xml:space="preserve"> and</w:t>
      </w:r>
      <w:r w:rsidR="0092443D">
        <w:rPr>
          <w:rFonts w:ascii="Times New Roman" w:hAnsi="Times New Roman" w:cs="Times New Roman"/>
          <w:sz w:val="24"/>
          <w:szCs w:val="24"/>
        </w:rPr>
        <w:t xml:space="preserve"> </w:t>
      </w:r>
      <w:r w:rsidR="005153A5">
        <w:rPr>
          <w:rFonts w:ascii="Times New Roman" w:hAnsi="Times New Roman" w:cs="Times New Roman"/>
          <w:sz w:val="24"/>
          <w:szCs w:val="24"/>
        </w:rPr>
        <w:t>CenterPoint</w:t>
      </w:r>
      <w:r w:rsidR="00DC48AA">
        <w:rPr>
          <w:rFonts w:ascii="Times New Roman" w:hAnsi="Times New Roman" w:cs="Times New Roman"/>
          <w:sz w:val="24"/>
          <w:szCs w:val="24"/>
        </w:rPr>
        <w:t xml:space="preserve">, take a similar view for those </w:t>
      </w:r>
      <w:r w:rsidR="0026750E">
        <w:rPr>
          <w:rFonts w:ascii="Times New Roman" w:hAnsi="Times New Roman" w:cs="Times New Roman"/>
          <w:sz w:val="24"/>
          <w:szCs w:val="24"/>
        </w:rPr>
        <w:t xml:space="preserve">DGRs </w:t>
      </w:r>
      <w:r w:rsidR="00DC48AA">
        <w:rPr>
          <w:rFonts w:ascii="Times New Roman" w:hAnsi="Times New Roman" w:cs="Times New Roman"/>
          <w:sz w:val="24"/>
          <w:szCs w:val="24"/>
        </w:rPr>
        <w:t xml:space="preserve">that </w:t>
      </w:r>
      <w:r w:rsidR="000A7A9F">
        <w:rPr>
          <w:rFonts w:ascii="Times New Roman" w:hAnsi="Times New Roman" w:cs="Times New Roman"/>
          <w:sz w:val="24"/>
          <w:szCs w:val="24"/>
        </w:rPr>
        <w:t xml:space="preserve">are providing a system-wide benefit.  As Oncor notes, </w:t>
      </w:r>
      <w:r w:rsidR="002432F1">
        <w:rPr>
          <w:rFonts w:ascii="Times New Roman" w:hAnsi="Times New Roman" w:cs="Times New Roman"/>
          <w:sz w:val="24"/>
          <w:szCs w:val="24"/>
        </w:rPr>
        <w:t>“</w:t>
      </w:r>
      <w:r w:rsidR="007C764A">
        <w:rPr>
          <w:rFonts w:ascii="Times New Roman" w:hAnsi="Times New Roman" w:cs="Times New Roman"/>
          <w:sz w:val="24"/>
          <w:szCs w:val="24"/>
        </w:rPr>
        <w:t>it would not</w:t>
      </w:r>
      <w:r w:rsidR="002432F1">
        <w:rPr>
          <w:rFonts w:ascii="Times New Roman" w:hAnsi="Times New Roman" w:cs="Times New Roman"/>
          <w:sz w:val="24"/>
          <w:szCs w:val="24"/>
        </w:rPr>
        <w:t>, however</w:t>
      </w:r>
      <w:r w:rsidR="007C764A">
        <w:rPr>
          <w:rFonts w:ascii="Times New Roman" w:hAnsi="Times New Roman" w:cs="Times New Roman"/>
          <w:sz w:val="24"/>
          <w:szCs w:val="24"/>
        </w:rPr>
        <w:t xml:space="preserve"> seem appropriate to saddle the end-use customers in one area of the state service by a particular DSP with </w:t>
      </w:r>
      <w:r w:rsidR="007C764A">
        <w:rPr>
          <w:rFonts w:ascii="Times New Roman" w:hAnsi="Times New Roman" w:cs="Times New Roman"/>
          <w:sz w:val="24"/>
          <w:szCs w:val="24"/>
        </w:rPr>
        <w:lastRenderedPageBreak/>
        <w:t>the costs of a battery interconnect</w:t>
      </w:r>
      <w:r w:rsidR="002432F1">
        <w:rPr>
          <w:rFonts w:ascii="Times New Roman" w:hAnsi="Times New Roman" w:cs="Times New Roman"/>
          <w:sz w:val="24"/>
          <w:szCs w:val="24"/>
        </w:rPr>
        <w:t>ed</w:t>
      </w:r>
      <w:r w:rsidR="007C764A">
        <w:rPr>
          <w:rFonts w:ascii="Times New Roman" w:hAnsi="Times New Roman" w:cs="Times New Roman"/>
          <w:sz w:val="24"/>
          <w:szCs w:val="24"/>
        </w:rPr>
        <w:t xml:space="preserve"> to that DSP’s distribution facilities if that battery is </w:t>
      </w:r>
      <w:r w:rsidR="002432F1">
        <w:rPr>
          <w:rFonts w:ascii="Times New Roman" w:hAnsi="Times New Roman" w:cs="Times New Roman"/>
          <w:sz w:val="24"/>
          <w:szCs w:val="24"/>
        </w:rPr>
        <w:t xml:space="preserve">characterized as a </w:t>
      </w:r>
      <w:r w:rsidR="007C764A">
        <w:rPr>
          <w:rFonts w:ascii="Times New Roman" w:hAnsi="Times New Roman" w:cs="Times New Roman"/>
          <w:sz w:val="24"/>
          <w:szCs w:val="24"/>
        </w:rPr>
        <w:t>system</w:t>
      </w:r>
      <w:r w:rsidR="002432F1">
        <w:rPr>
          <w:rFonts w:ascii="Times New Roman" w:hAnsi="Times New Roman" w:cs="Times New Roman"/>
          <w:sz w:val="24"/>
          <w:szCs w:val="24"/>
        </w:rPr>
        <w:t>-</w:t>
      </w:r>
      <w:r w:rsidR="007C764A">
        <w:rPr>
          <w:rFonts w:ascii="Times New Roman" w:hAnsi="Times New Roman" w:cs="Times New Roman"/>
          <w:sz w:val="24"/>
          <w:szCs w:val="24"/>
        </w:rPr>
        <w:t>wide benefit.”</w:t>
      </w:r>
      <w:r w:rsidR="00BE21C0">
        <w:rPr>
          <w:rStyle w:val="FootnoteReference"/>
          <w:rFonts w:ascii="Times New Roman" w:hAnsi="Times New Roman" w:cs="Times New Roman"/>
          <w:sz w:val="24"/>
          <w:szCs w:val="24"/>
        </w:rPr>
        <w:footnoteReference w:id="13"/>
      </w:r>
      <w:r>
        <w:rPr>
          <w:rFonts w:ascii="Times New Roman" w:hAnsi="Times New Roman" w:cs="Times New Roman"/>
          <w:sz w:val="24"/>
          <w:szCs w:val="24"/>
        </w:rPr>
        <w:t xml:space="preserve">  </w:t>
      </w:r>
    </w:p>
    <w:p w14:paraId="47EFC771" w14:textId="2E3A88E1" w:rsidR="009F4740" w:rsidRPr="009F4740" w:rsidRDefault="00333F85" w:rsidP="009F474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Perhaps the simplest approach to utilizing TCOS </w:t>
      </w:r>
      <w:r w:rsidR="00587EBF">
        <w:rPr>
          <w:rFonts w:ascii="Times New Roman" w:hAnsi="Times New Roman" w:cs="Times New Roman"/>
          <w:sz w:val="24"/>
          <w:szCs w:val="24"/>
        </w:rPr>
        <w:t xml:space="preserve">as the recovery method </w:t>
      </w:r>
      <w:r>
        <w:rPr>
          <w:rFonts w:ascii="Times New Roman" w:hAnsi="Times New Roman" w:cs="Times New Roman"/>
          <w:sz w:val="24"/>
          <w:szCs w:val="24"/>
        </w:rPr>
        <w:t xml:space="preserve">would be to </w:t>
      </w:r>
      <w:r w:rsidR="00C90BDB">
        <w:rPr>
          <w:rFonts w:ascii="Times New Roman" w:hAnsi="Times New Roman" w:cs="Times New Roman"/>
          <w:sz w:val="24"/>
          <w:szCs w:val="24"/>
        </w:rPr>
        <w:t xml:space="preserve">functionalize the interconnection allowance for DGRs/DESRs </w:t>
      </w:r>
      <w:r w:rsidR="00587EBF">
        <w:rPr>
          <w:rFonts w:ascii="Times New Roman" w:hAnsi="Times New Roman" w:cs="Times New Roman"/>
          <w:sz w:val="24"/>
          <w:szCs w:val="24"/>
        </w:rPr>
        <w:t>to the Transmission function, as suggested by Oncor in its comments</w:t>
      </w:r>
      <w:r w:rsidR="00994865">
        <w:rPr>
          <w:rFonts w:ascii="Times New Roman" w:hAnsi="Times New Roman" w:cs="Times New Roman"/>
          <w:sz w:val="24"/>
          <w:szCs w:val="24"/>
        </w:rPr>
        <w:t>, which could be accomplished within this rulemaking process</w:t>
      </w:r>
      <w:r w:rsidR="00587EBF">
        <w:rPr>
          <w:rFonts w:ascii="Times New Roman" w:hAnsi="Times New Roman" w:cs="Times New Roman"/>
          <w:sz w:val="24"/>
          <w:szCs w:val="24"/>
        </w:rPr>
        <w:t>.</w:t>
      </w:r>
      <w:r w:rsidR="00587EBF">
        <w:rPr>
          <w:rStyle w:val="FootnoteReference"/>
          <w:rFonts w:ascii="Times New Roman" w:hAnsi="Times New Roman" w:cs="Times New Roman"/>
          <w:sz w:val="24"/>
          <w:szCs w:val="24"/>
        </w:rPr>
        <w:footnoteReference w:id="14"/>
      </w:r>
      <w:r w:rsidR="00B35302">
        <w:rPr>
          <w:rFonts w:ascii="Times New Roman" w:hAnsi="Times New Roman" w:cs="Times New Roman"/>
          <w:sz w:val="24"/>
          <w:szCs w:val="24"/>
        </w:rPr>
        <w:t xml:space="preserve"> </w:t>
      </w:r>
      <w:r w:rsidR="009F4740" w:rsidRPr="009F4740">
        <w:rPr>
          <w:rFonts w:ascii="Times New Roman" w:hAnsi="Times New Roman" w:cs="Times New Roman"/>
          <w:sz w:val="24"/>
          <w:szCs w:val="24"/>
        </w:rPr>
        <w:t>FERC’s instructions for recording costs in the system of accounts distinguish between the transmission and distribution system based primarily on the function served by the facilities or expenses—</w:t>
      </w:r>
      <w:r w:rsidR="009F4740" w:rsidRPr="00267128">
        <w:rPr>
          <w:rFonts w:ascii="Times New Roman" w:hAnsi="Times New Roman" w:cs="Times New Roman"/>
          <w:sz w:val="24"/>
          <w:szCs w:val="24"/>
          <w:u w:val="single"/>
        </w:rPr>
        <w:t>not</w:t>
      </w:r>
      <w:r w:rsidR="009F4740" w:rsidRPr="009F4740">
        <w:rPr>
          <w:rFonts w:ascii="Times New Roman" w:hAnsi="Times New Roman" w:cs="Times New Roman"/>
          <w:sz w:val="24"/>
          <w:szCs w:val="24"/>
        </w:rPr>
        <w:t xml:space="preserve"> the voltage at which those facilities operate.  Thus, investment or expenses intended for a transmission (i.e., wholesale delivery) function can be included in a TSP’s TCOS.  Indeed, </w:t>
      </w:r>
      <w:r w:rsidR="00421A08">
        <w:rPr>
          <w:rFonts w:ascii="Times New Roman" w:hAnsi="Times New Roman" w:cs="Times New Roman"/>
          <w:sz w:val="24"/>
          <w:szCs w:val="24"/>
        </w:rPr>
        <w:t>16 TAC §25</w:t>
      </w:r>
      <w:r w:rsidR="003C03E0">
        <w:rPr>
          <w:rFonts w:ascii="Times New Roman" w:hAnsi="Times New Roman" w:cs="Times New Roman"/>
          <w:sz w:val="24"/>
          <w:szCs w:val="24"/>
        </w:rPr>
        <w:t xml:space="preserve">.192, which addresses the costs to be included in TCOS, </w:t>
      </w:r>
      <w:r w:rsidR="009F4740" w:rsidRPr="009F4740">
        <w:rPr>
          <w:rFonts w:ascii="Times New Roman" w:hAnsi="Times New Roman" w:cs="Times New Roman"/>
          <w:sz w:val="24"/>
          <w:szCs w:val="24"/>
        </w:rPr>
        <w:t>specifically requires costs for certain types of facilities that serve a transmission function to be included in a TSP’s TCOS</w:t>
      </w:r>
      <w:r w:rsidR="003C03E0">
        <w:rPr>
          <w:rFonts w:ascii="Times New Roman" w:hAnsi="Times New Roman" w:cs="Times New Roman"/>
          <w:sz w:val="24"/>
          <w:szCs w:val="24"/>
        </w:rPr>
        <w:t>,</w:t>
      </w:r>
      <w:r w:rsidR="009F4740" w:rsidRPr="009F4740">
        <w:rPr>
          <w:rFonts w:ascii="Times New Roman" w:hAnsi="Times New Roman" w:cs="Times New Roman"/>
          <w:sz w:val="24"/>
          <w:szCs w:val="24"/>
        </w:rPr>
        <w:t xml:space="preserve"> even though those facilities are operated at distribution voltage</w:t>
      </w:r>
      <w:r w:rsidR="002164C2">
        <w:rPr>
          <w:rFonts w:ascii="Times New Roman" w:hAnsi="Times New Roman" w:cs="Times New Roman"/>
          <w:sz w:val="24"/>
          <w:szCs w:val="24"/>
        </w:rPr>
        <w:t>.</w:t>
      </w:r>
      <w:r w:rsidR="00421A08">
        <w:rPr>
          <w:rStyle w:val="FootnoteReference"/>
          <w:rFonts w:ascii="Times New Roman" w:hAnsi="Times New Roman" w:cs="Times New Roman"/>
          <w:sz w:val="24"/>
          <w:szCs w:val="24"/>
        </w:rPr>
        <w:footnoteReference w:id="15"/>
      </w:r>
      <w:r w:rsidR="009F4740" w:rsidRPr="009F4740">
        <w:rPr>
          <w:rFonts w:ascii="Times New Roman" w:hAnsi="Times New Roman" w:cs="Times New Roman"/>
          <w:sz w:val="24"/>
          <w:szCs w:val="24"/>
        </w:rPr>
        <w:t xml:space="preserve"> </w:t>
      </w:r>
    </w:p>
    <w:p w14:paraId="206E859E" w14:textId="16A1DDB5" w:rsidR="00D259FD" w:rsidRDefault="009F4740" w:rsidP="009F4740">
      <w:pPr>
        <w:spacing w:line="360" w:lineRule="auto"/>
        <w:ind w:firstLine="720"/>
        <w:jc w:val="both"/>
        <w:rPr>
          <w:rFonts w:ascii="Times New Roman" w:hAnsi="Times New Roman" w:cs="Times New Roman"/>
          <w:sz w:val="24"/>
          <w:szCs w:val="24"/>
        </w:rPr>
      </w:pPr>
      <w:r w:rsidRPr="009F4740">
        <w:rPr>
          <w:rFonts w:ascii="Times New Roman" w:hAnsi="Times New Roman" w:cs="Times New Roman"/>
          <w:sz w:val="24"/>
          <w:szCs w:val="24"/>
        </w:rPr>
        <w:t xml:space="preserve">The facilities and operational costs located within the utility substation that are used to interconnect and serve </w:t>
      </w:r>
      <w:r w:rsidR="003F03B2">
        <w:rPr>
          <w:rFonts w:ascii="Times New Roman" w:hAnsi="Times New Roman" w:cs="Times New Roman"/>
          <w:sz w:val="24"/>
          <w:szCs w:val="24"/>
        </w:rPr>
        <w:t>D</w:t>
      </w:r>
      <w:r w:rsidRPr="009F4740">
        <w:rPr>
          <w:rFonts w:ascii="Times New Roman" w:hAnsi="Times New Roman" w:cs="Times New Roman"/>
          <w:sz w:val="24"/>
          <w:szCs w:val="24"/>
        </w:rPr>
        <w:t xml:space="preserve">ESRs fulfill a wholesale transmission function, whether those facilities are operated at transmission or distribution voltage.  It would be reasonable and consistent with both the plain language and the policy supporting the FERC system of accounts and 16 TAC § 25.192 to include those costs in TCOS. </w:t>
      </w:r>
      <w:r w:rsidR="00B35302">
        <w:rPr>
          <w:rFonts w:ascii="Times New Roman" w:hAnsi="Times New Roman" w:cs="Times New Roman"/>
          <w:sz w:val="24"/>
          <w:szCs w:val="24"/>
        </w:rPr>
        <w:t xml:space="preserve"> </w:t>
      </w:r>
    </w:p>
    <w:p w14:paraId="1C807125" w14:textId="77777777" w:rsidR="00E04863" w:rsidRDefault="00BA258E" w:rsidP="00BA258E">
      <w:pPr>
        <w:spacing w:line="360" w:lineRule="auto"/>
        <w:jc w:val="both"/>
        <w:rPr>
          <w:rFonts w:ascii="Times New Roman" w:hAnsi="Times New Roman" w:cs="Times New Roman"/>
          <w:b/>
          <w:bCs/>
          <w:i/>
          <w:iCs/>
          <w:sz w:val="24"/>
          <w:szCs w:val="24"/>
        </w:rPr>
      </w:pPr>
      <w:r w:rsidRPr="00A91548">
        <w:rPr>
          <w:rFonts w:ascii="Times New Roman" w:hAnsi="Times New Roman" w:cs="Times New Roman"/>
          <w:b/>
          <w:bCs/>
          <w:i/>
          <w:iCs/>
          <w:sz w:val="24"/>
          <w:szCs w:val="24"/>
        </w:rPr>
        <w:t>Question 5: Should a standard distribution resource interconnection allowance also apply in areas served by municipally owned utilities and electric cooperatives?</w:t>
      </w:r>
    </w:p>
    <w:p w14:paraId="76996010" w14:textId="0681591C" w:rsidR="00BA258E" w:rsidRPr="00A91548" w:rsidRDefault="00BA258E" w:rsidP="00BA258E">
      <w:pPr>
        <w:spacing w:line="360" w:lineRule="auto"/>
        <w:jc w:val="both"/>
        <w:rPr>
          <w:rFonts w:ascii="Times New Roman" w:hAnsi="Times New Roman" w:cs="Times New Roman"/>
          <w:b/>
          <w:bCs/>
          <w:i/>
          <w:iCs/>
          <w:sz w:val="24"/>
          <w:szCs w:val="24"/>
        </w:rPr>
      </w:pPr>
      <w:r w:rsidRPr="00A91548">
        <w:rPr>
          <w:rFonts w:ascii="Times New Roman" w:hAnsi="Times New Roman" w:cs="Times New Roman"/>
          <w:b/>
          <w:bCs/>
          <w:i/>
          <w:iCs/>
          <w:sz w:val="24"/>
          <w:szCs w:val="24"/>
        </w:rPr>
        <w:t xml:space="preserve"> </w:t>
      </w:r>
      <w:r w:rsidR="00E04863" w:rsidRPr="00A91548">
        <w:rPr>
          <w:rFonts w:ascii="Times New Roman" w:hAnsi="Times New Roman" w:cs="Times New Roman"/>
          <w:b/>
          <w:bCs/>
          <w:i/>
          <w:iCs/>
          <w:sz w:val="24"/>
          <w:szCs w:val="24"/>
        </w:rPr>
        <w:t>Question 6: If a standard distribution resource interconnection allowance should apply in areas served by municipally owned utilities and electric cooperatives, does the Commission need to develop a wholesale cost recovery mechanism to address the costs associated with this allowance? What factors should the Commission consider in developing such a mechanism? Separate from his primary policy proposal, Commissioner Glotfelty' s memo also noted that a resource receives different treatment based on whether it interconnects at transmission or distribution voltage</w:t>
      </w:r>
      <w:r w:rsidR="00E04863" w:rsidRPr="00A91548">
        <w:rPr>
          <w:rFonts w:ascii="Times New Roman" w:hAnsi="Times New Roman" w:cs="Times New Roman"/>
          <w:b/>
          <w:bCs/>
          <w:sz w:val="24"/>
          <w:szCs w:val="24"/>
        </w:rPr>
        <w:t xml:space="preserve">. </w:t>
      </w:r>
    </w:p>
    <w:p w14:paraId="6502AB38" w14:textId="0B5DE6C1" w:rsidR="00501142" w:rsidRPr="007779F1" w:rsidRDefault="00BA258E" w:rsidP="007779F1">
      <w:pPr>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As explained in HEN’s initial comments and </w:t>
      </w:r>
      <w:r w:rsidR="00A14E68">
        <w:rPr>
          <w:rFonts w:ascii="Times New Roman" w:hAnsi="Times New Roman" w:cs="Times New Roman"/>
          <w:sz w:val="24"/>
          <w:szCs w:val="24"/>
        </w:rPr>
        <w:t xml:space="preserve">above in the response to Question 1, the Commission has the statutory authority to require electric cooperatives and municipally-owned utilities to adopt an </w:t>
      </w:r>
      <w:r w:rsidR="00A14E68">
        <w:rPr>
          <w:rFonts w:ascii="Times New Roman" w:hAnsi="Times New Roman" w:cs="Times New Roman"/>
          <w:sz w:val="24"/>
          <w:szCs w:val="24"/>
        </w:rPr>
        <w:lastRenderedPageBreak/>
        <w:t xml:space="preserve">interconnection allowance.  </w:t>
      </w:r>
      <w:r w:rsidR="002439D9">
        <w:rPr>
          <w:rFonts w:ascii="Times New Roman" w:hAnsi="Times New Roman" w:cs="Times New Roman"/>
          <w:sz w:val="24"/>
          <w:szCs w:val="24"/>
        </w:rPr>
        <w:t xml:space="preserve">Several commenters noted the challenges that </w:t>
      </w:r>
      <w:r w:rsidR="003C3380">
        <w:rPr>
          <w:rFonts w:ascii="Times New Roman" w:hAnsi="Times New Roman" w:cs="Times New Roman"/>
          <w:sz w:val="24"/>
          <w:szCs w:val="24"/>
        </w:rPr>
        <w:t xml:space="preserve">some of these smaller entities might have in recovering those costs.  For </w:t>
      </w:r>
      <w:r w:rsidR="007730EF">
        <w:rPr>
          <w:rFonts w:ascii="Times New Roman" w:hAnsi="Times New Roman" w:cs="Times New Roman"/>
          <w:sz w:val="24"/>
          <w:szCs w:val="24"/>
        </w:rPr>
        <w:t>DGRs</w:t>
      </w:r>
      <w:r w:rsidR="0003644E">
        <w:rPr>
          <w:rFonts w:ascii="Times New Roman" w:hAnsi="Times New Roman" w:cs="Times New Roman"/>
          <w:sz w:val="24"/>
          <w:szCs w:val="24"/>
        </w:rPr>
        <w:t xml:space="preserve"> that are ERCOT-registered Resources benefitting the entire ERCOT system by offering energy and ancillary services</w:t>
      </w:r>
      <w:r w:rsidR="00844E0E">
        <w:rPr>
          <w:rFonts w:ascii="Times New Roman" w:hAnsi="Times New Roman" w:cs="Times New Roman"/>
          <w:sz w:val="24"/>
          <w:szCs w:val="24"/>
        </w:rPr>
        <w:t>, these costs could be functionalized to transmission and recovered through TCOS</w:t>
      </w:r>
      <w:r w:rsidR="00C115F2">
        <w:rPr>
          <w:rFonts w:ascii="Times New Roman" w:hAnsi="Times New Roman" w:cs="Times New Roman"/>
          <w:sz w:val="24"/>
          <w:szCs w:val="24"/>
        </w:rPr>
        <w:t>, thus eliminating the disprop</w:t>
      </w:r>
      <w:r w:rsidR="005A766A">
        <w:rPr>
          <w:rFonts w:ascii="Times New Roman" w:hAnsi="Times New Roman" w:cs="Times New Roman"/>
          <w:sz w:val="24"/>
          <w:szCs w:val="24"/>
        </w:rPr>
        <w:t xml:space="preserve">ortionate burden on </w:t>
      </w:r>
      <w:r w:rsidR="00693324">
        <w:rPr>
          <w:rFonts w:ascii="Times New Roman" w:hAnsi="Times New Roman" w:cs="Times New Roman"/>
          <w:sz w:val="24"/>
          <w:szCs w:val="24"/>
        </w:rPr>
        <w:t>a small cooperative system.</w:t>
      </w:r>
      <w:r w:rsidR="002439D9">
        <w:rPr>
          <w:rFonts w:ascii="Times New Roman" w:hAnsi="Times New Roman" w:cs="Times New Roman"/>
          <w:sz w:val="24"/>
          <w:szCs w:val="24"/>
        </w:rPr>
        <w:t xml:space="preserve"> </w:t>
      </w:r>
    </w:p>
    <w:p w14:paraId="78DB4870" w14:textId="77777777" w:rsidR="00784C51" w:rsidRDefault="00E006FB" w:rsidP="00E006FB">
      <w:pPr>
        <w:spacing w:line="360" w:lineRule="auto"/>
        <w:jc w:val="both"/>
        <w:rPr>
          <w:rFonts w:ascii="Times New Roman" w:hAnsi="Times New Roman" w:cs="Times New Roman"/>
          <w:b/>
          <w:bCs/>
          <w:sz w:val="24"/>
          <w:szCs w:val="24"/>
        </w:rPr>
      </w:pPr>
      <w:r w:rsidRPr="00A91548">
        <w:rPr>
          <w:rFonts w:ascii="Times New Roman" w:hAnsi="Times New Roman" w:cs="Times New Roman"/>
          <w:b/>
          <w:bCs/>
          <w:i/>
          <w:iCs/>
          <w:sz w:val="24"/>
          <w:szCs w:val="24"/>
        </w:rPr>
        <w:t>Question 7: What disparities exist between distributed generation and energy storage resources interconnecting at transmission and distribution voltages</w:t>
      </w:r>
      <w:r w:rsidRPr="00A91548">
        <w:rPr>
          <w:rFonts w:ascii="Times New Roman" w:hAnsi="Times New Roman" w:cs="Times New Roman"/>
          <w:b/>
          <w:bCs/>
          <w:sz w:val="24"/>
          <w:szCs w:val="24"/>
        </w:rPr>
        <w:t>?</w:t>
      </w:r>
    </w:p>
    <w:p w14:paraId="3E805A22" w14:textId="3631174D" w:rsidR="00E006FB" w:rsidRPr="00A91548" w:rsidRDefault="00E006FB" w:rsidP="00E006FB">
      <w:pPr>
        <w:spacing w:line="360" w:lineRule="auto"/>
        <w:jc w:val="both"/>
        <w:rPr>
          <w:rFonts w:ascii="Times New Roman" w:hAnsi="Times New Roman" w:cs="Times New Roman"/>
          <w:b/>
          <w:bCs/>
          <w:sz w:val="24"/>
          <w:szCs w:val="24"/>
        </w:rPr>
      </w:pPr>
      <w:r w:rsidRPr="00A91548">
        <w:rPr>
          <w:rFonts w:ascii="Times New Roman" w:hAnsi="Times New Roman" w:cs="Times New Roman"/>
          <w:b/>
          <w:bCs/>
          <w:sz w:val="24"/>
          <w:szCs w:val="24"/>
        </w:rPr>
        <w:t xml:space="preserve"> </w:t>
      </w:r>
      <w:r w:rsidR="00784C51" w:rsidRPr="00A91548">
        <w:rPr>
          <w:rFonts w:ascii="Times New Roman" w:hAnsi="Times New Roman" w:cs="Times New Roman"/>
          <w:b/>
          <w:bCs/>
          <w:i/>
          <w:iCs/>
          <w:sz w:val="24"/>
          <w:szCs w:val="24"/>
        </w:rPr>
        <w:t>Question 8: What, if any, action should the Commission take to address these disparities in a uniform fashion</w:t>
      </w:r>
      <w:r w:rsidR="00784C51" w:rsidRPr="00A91548">
        <w:rPr>
          <w:rFonts w:ascii="Times New Roman" w:hAnsi="Times New Roman" w:cs="Times New Roman"/>
          <w:b/>
          <w:bCs/>
          <w:sz w:val="24"/>
          <w:szCs w:val="24"/>
        </w:rPr>
        <w:t>?</w:t>
      </w:r>
    </w:p>
    <w:p w14:paraId="2BB28E95" w14:textId="252B120B" w:rsidR="003C66B8" w:rsidRDefault="00E35C1E"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initial comments, </w:t>
      </w:r>
      <w:r w:rsidR="00BC3FEE">
        <w:rPr>
          <w:rFonts w:ascii="Times New Roman" w:hAnsi="Times New Roman" w:cs="Times New Roman"/>
          <w:sz w:val="24"/>
          <w:szCs w:val="24"/>
        </w:rPr>
        <w:t xml:space="preserve">HEN and Oncor both discussed the issue of monthly tariffed </w:t>
      </w:r>
      <w:r>
        <w:rPr>
          <w:rFonts w:ascii="Times New Roman" w:hAnsi="Times New Roman" w:cs="Times New Roman"/>
          <w:sz w:val="24"/>
          <w:szCs w:val="24"/>
        </w:rPr>
        <w:t>wholesale delivery charges which are imposed only on DESRs</w:t>
      </w:r>
      <w:r w:rsidR="00533856">
        <w:rPr>
          <w:rFonts w:ascii="Times New Roman" w:hAnsi="Times New Roman" w:cs="Times New Roman"/>
          <w:sz w:val="24"/>
          <w:szCs w:val="24"/>
        </w:rPr>
        <w:t xml:space="preserve">.  </w:t>
      </w:r>
      <w:r w:rsidR="0046180F">
        <w:rPr>
          <w:rFonts w:ascii="Times New Roman" w:hAnsi="Times New Roman" w:cs="Times New Roman"/>
          <w:sz w:val="24"/>
          <w:szCs w:val="24"/>
        </w:rPr>
        <w:t xml:space="preserve">The </w:t>
      </w:r>
      <w:r w:rsidR="00FD679E">
        <w:rPr>
          <w:rFonts w:ascii="Times New Roman" w:hAnsi="Times New Roman" w:cs="Times New Roman"/>
          <w:sz w:val="24"/>
          <w:szCs w:val="24"/>
        </w:rPr>
        <w:t>policy issues surrounding the wholesale distribution tariffs imposed on DESRs</w:t>
      </w:r>
      <w:r w:rsidR="001E6B23">
        <w:rPr>
          <w:rFonts w:ascii="Times New Roman" w:hAnsi="Times New Roman" w:cs="Times New Roman"/>
          <w:sz w:val="24"/>
          <w:szCs w:val="24"/>
        </w:rPr>
        <w:t xml:space="preserve"> have not yet received full Commission consideration</w:t>
      </w:r>
      <w:r w:rsidR="005C3694">
        <w:rPr>
          <w:rFonts w:ascii="Times New Roman" w:hAnsi="Times New Roman" w:cs="Times New Roman"/>
          <w:sz w:val="24"/>
          <w:szCs w:val="24"/>
        </w:rPr>
        <w:t xml:space="preserve">, as the Commission decided to establish </w:t>
      </w:r>
      <w:r w:rsidR="00FC2690">
        <w:rPr>
          <w:rFonts w:ascii="Times New Roman" w:hAnsi="Times New Roman" w:cs="Times New Roman"/>
          <w:sz w:val="24"/>
          <w:szCs w:val="24"/>
        </w:rPr>
        <w:t xml:space="preserve">its </w:t>
      </w:r>
      <w:r w:rsidR="005C3694">
        <w:rPr>
          <w:rFonts w:ascii="Times New Roman" w:hAnsi="Times New Roman" w:cs="Times New Roman"/>
          <w:sz w:val="24"/>
          <w:szCs w:val="24"/>
        </w:rPr>
        <w:t>policy in</w:t>
      </w:r>
      <w:r w:rsidR="00FC2690">
        <w:rPr>
          <w:rFonts w:ascii="Times New Roman" w:hAnsi="Times New Roman" w:cs="Times New Roman"/>
          <w:sz w:val="24"/>
          <w:szCs w:val="24"/>
        </w:rPr>
        <w:t xml:space="preserve"> this proceeding.</w:t>
      </w:r>
      <w:r w:rsidR="00FC2690">
        <w:rPr>
          <w:rStyle w:val="FootnoteReference"/>
          <w:rFonts w:ascii="Times New Roman" w:hAnsi="Times New Roman" w:cs="Times New Roman"/>
          <w:sz w:val="24"/>
          <w:szCs w:val="24"/>
        </w:rPr>
        <w:footnoteReference w:id="16"/>
      </w:r>
      <w:r w:rsidR="001E6B23">
        <w:rPr>
          <w:rFonts w:ascii="Times New Roman" w:hAnsi="Times New Roman" w:cs="Times New Roman"/>
          <w:sz w:val="24"/>
          <w:szCs w:val="24"/>
        </w:rPr>
        <w:t xml:space="preserve"> </w:t>
      </w:r>
      <w:r w:rsidR="00786E93">
        <w:rPr>
          <w:rFonts w:ascii="Times New Roman" w:hAnsi="Times New Roman" w:cs="Times New Roman"/>
          <w:sz w:val="24"/>
          <w:szCs w:val="24"/>
        </w:rPr>
        <w:t xml:space="preserve">As set forth in its initial comments and in </w:t>
      </w:r>
      <w:r w:rsidR="007073F0">
        <w:rPr>
          <w:rFonts w:ascii="Times New Roman" w:hAnsi="Times New Roman" w:cs="Times New Roman"/>
          <w:sz w:val="24"/>
          <w:szCs w:val="24"/>
        </w:rPr>
        <w:t xml:space="preserve">the previous comments filed in this Project and in Project No. 54233, </w:t>
      </w:r>
      <w:r w:rsidR="0069439E">
        <w:rPr>
          <w:rFonts w:ascii="Times New Roman" w:hAnsi="Times New Roman" w:cs="Times New Roman"/>
          <w:sz w:val="24"/>
          <w:szCs w:val="24"/>
        </w:rPr>
        <w:t xml:space="preserve">HEN </w:t>
      </w:r>
      <w:r w:rsidR="00C1593D">
        <w:rPr>
          <w:rFonts w:ascii="Times New Roman" w:hAnsi="Times New Roman" w:cs="Times New Roman"/>
          <w:sz w:val="24"/>
          <w:szCs w:val="24"/>
        </w:rPr>
        <w:t xml:space="preserve">does not support the approval of these tariffs as DESRs are the only </w:t>
      </w:r>
      <w:r w:rsidR="00DE6266">
        <w:rPr>
          <w:rFonts w:ascii="Times New Roman" w:hAnsi="Times New Roman" w:cs="Times New Roman"/>
          <w:sz w:val="24"/>
          <w:szCs w:val="24"/>
        </w:rPr>
        <w:t>Resource</w:t>
      </w:r>
      <w:r w:rsidR="009E3D06">
        <w:rPr>
          <w:rFonts w:ascii="Times New Roman" w:hAnsi="Times New Roman" w:cs="Times New Roman"/>
          <w:sz w:val="24"/>
          <w:szCs w:val="24"/>
        </w:rPr>
        <w:t xml:space="preserve"> type</w:t>
      </w:r>
      <w:r w:rsidR="00DE6266">
        <w:rPr>
          <w:rFonts w:ascii="Times New Roman" w:hAnsi="Times New Roman" w:cs="Times New Roman"/>
          <w:sz w:val="24"/>
          <w:szCs w:val="24"/>
        </w:rPr>
        <w:t xml:space="preserve"> that is charged for wholesale delivery of power delivered to the ERCOT system, for the benefit of </w:t>
      </w:r>
      <w:r w:rsidR="001657B6">
        <w:rPr>
          <w:rFonts w:ascii="Times New Roman" w:hAnsi="Times New Roman" w:cs="Times New Roman"/>
          <w:sz w:val="24"/>
          <w:szCs w:val="24"/>
        </w:rPr>
        <w:t xml:space="preserve">retail customers. </w:t>
      </w:r>
    </w:p>
    <w:p w14:paraId="7554D428" w14:textId="00C2A744" w:rsidR="00563585" w:rsidRDefault="003C66B8"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However, if the Commission does decide that</w:t>
      </w:r>
      <w:r w:rsidR="00C4534B">
        <w:rPr>
          <w:rFonts w:ascii="Times New Roman" w:hAnsi="Times New Roman" w:cs="Times New Roman"/>
          <w:sz w:val="24"/>
          <w:szCs w:val="24"/>
        </w:rPr>
        <w:t xml:space="preserve"> a tariff should be imposed on DESR</w:t>
      </w:r>
      <w:r w:rsidR="007730EF">
        <w:rPr>
          <w:rFonts w:ascii="Times New Roman" w:hAnsi="Times New Roman" w:cs="Times New Roman"/>
          <w:sz w:val="24"/>
          <w:szCs w:val="24"/>
        </w:rPr>
        <w:t>s</w:t>
      </w:r>
      <w:r w:rsidR="00C4534B">
        <w:rPr>
          <w:rFonts w:ascii="Times New Roman" w:hAnsi="Times New Roman" w:cs="Times New Roman"/>
          <w:sz w:val="24"/>
          <w:szCs w:val="24"/>
        </w:rPr>
        <w:t>, then</w:t>
      </w:r>
      <w:r w:rsidR="00CF6F2C">
        <w:rPr>
          <w:rFonts w:ascii="Times New Roman" w:hAnsi="Times New Roman" w:cs="Times New Roman"/>
          <w:sz w:val="24"/>
          <w:szCs w:val="24"/>
        </w:rPr>
        <w:t xml:space="preserve"> there are important policy issues to be decided regarding the structure and design of such a tariff.</w:t>
      </w:r>
      <w:r w:rsidR="00C5493F">
        <w:rPr>
          <w:rFonts w:ascii="Times New Roman" w:hAnsi="Times New Roman" w:cs="Times New Roman"/>
          <w:sz w:val="24"/>
          <w:szCs w:val="24"/>
        </w:rPr>
        <w:t xml:space="preserve"> </w:t>
      </w:r>
      <w:r w:rsidR="00261EC3">
        <w:rPr>
          <w:rFonts w:ascii="Times New Roman" w:hAnsi="Times New Roman" w:cs="Times New Roman"/>
          <w:sz w:val="24"/>
          <w:szCs w:val="24"/>
        </w:rPr>
        <w:t xml:space="preserve"> Until the </w:t>
      </w:r>
      <w:r w:rsidR="003E309A">
        <w:rPr>
          <w:rFonts w:ascii="Times New Roman" w:hAnsi="Times New Roman" w:cs="Times New Roman"/>
          <w:sz w:val="24"/>
          <w:szCs w:val="24"/>
        </w:rPr>
        <w:t xml:space="preserve">recent </w:t>
      </w:r>
      <w:r w:rsidR="00261EC3">
        <w:rPr>
          <w:rFonts w:ascii="Times New Roman" w:hAnsi="Times New Roman" w:cs="Times New Roman"/>
          <w:sz w:val="24"/>
          <w:szCs w:val="24"/>
        </w:rPr>
        <w:t xml:space="preserve">proliferation of </w:t>
      </w:r>
      <w:r w:rsidR="003E309A">
        <w:rPr>
          <w:rFonts w:ascii="Times New Roman" w:hAnsi="Times New Roman" w:cs="Times New Roman"/>
          <w:sz w:val="24"/>
          <w:szCs w:val="24"/>
        </w:rPr>
        <w:t>DSP wholesale distribution service tariffs, u</w:t>
      </w:r>
      <w:r w:rsidR="00563585" w:rsidRPr="00563585">
        <w:rPr>
          <w:rFonts w:ascii="Times New Roman" w:hAnsi="Times New Roman" w:cs="Times New Roman"/>
          <w:sz w:val="24"/>
          <w:szCs w:val="24"/>
        </w:rPr>
        <w:t xml:space="preserve">tilities in the ERCOT region have not charged wholesale delivery rates to any other generators or transmission-connected ESRs since at least the opening of wholesale competition in 1995.  Tariff rate design concepts that might make sense for retail customers consuming electricity do not necessarily apply to </w:t>
      </w:r>
      <w:r w:rsidR="000D4DEF">
        <w:rPr>
          <w:rFonts w:ascii="Times New Roman" w:hAnsi="Times New Roman" w:cs="Times New Roman"/>
          <w:sz w:val="24"/>
          <w:szCs w:val="24"/>
        </w:rPr>
        <w:t>DESRs</w:t>
      </w:r>
      <w:r w:rsidR="00563585" w:rsidRPr="00563585">
        <w:rPr>
          <w:rFonts w:ascii="Times New Roman" w:hAnsi="Times New Roman" w:cs="Times New Roman"/>
          <w:sz w:val="24"/>
          <w:szCs w:val="24"/>
        </w:rPr>
        <w:t xml:space="preserve"> that are (1) storing electricity only, (2) dispatched by ERCOT, and (3) required by law to comply with all ERCOT Protocols and directives.  </w:t>
      </w:r>
      <w:r w:rsidR="000D4DEF">
        <w:rPr>
          <w:rFonts w:ascii="Times New Roman" w:hAnsi="Times New Roman" w:cs="Times New Roman"/>
          <w:sz w:val="24"/>
          <w:szCs w:val="24"/>
        </w:rPr>
        <w:t xml:space="preserve">If the Commission decides to </w:t>
      </w:r>
      <w:r w:rsidR="005868F0">
        <w:rPr>
          <w:rFonts w:ascii="Times New Roman" w:hAnsi="Times New Roman" w:cs="Times New Roman"/>
          <w:sz w:val="24"/>
          <w:szCs w:val="24"/>
        </w:rPr>
        <w:t>treat DESRs differently from all other power generation companies and impose wholesale delivery tariffs, then t</w:t>
      </w:r>
      <w:r w:rsidR="00563585" w:rsidRPr="00563585">
        <w:rPr>
          <w:rFonts w:ascii="Times New Roman" w:hAnsi="Times New Roman" w:cs="Times New Roman"/>
          <w:sz w:val="24"/>
          <w:szCs w:val="24"/>
        </w:rPr>
        <w:t xml:space="preserve">he design of the charges and the tariff conditions must recognize this fact.  </w:t>
      </w:r>
    </w:p>
    <w:p w14:paraId="195E5819" w14:textId="253FB254" w:rsidR="00474C0A" w:rsidRDefault="009F0AC5"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Most importantly,</w:t>
      </w:r>
      <w:r w:rsidR="00CF6F2C">
        <w:rPr>
          <w:rFonts w:ascii="Times New Roman" w:hAnsi="Times New Roman" w:cs="Times New Roman"/>
          <w:sz w:val="24"/>
          <w:szCs w:val="24"/>
        </w:rPr>
        <w:t xml:space="preserve"> the tariff should be designed to recover only that portion of the </w:t>
      </w:r>
      <w:r w:rsidR="006112D6">
        <w:rPr>
          <w:rFonts w:ascii="Times New Roman" w:hAnsi="Times New Roman" w:cs="Times New Roman"/>
          <w:sz w:val="24"/>
          <w:szCs w:val="24"/>
        </w:rPr>
        <w:t xml:space="preserve">distribution system that is used by the DESR.  Most DESRs locate adjacent to the DSP substation, </w:t>
      </w:r>
      <w:r w:rsidR="00515002">
        <w:rPr>
          <w:rFonts w:ascii="Times New Roman" w:hAnsi="Times New Roman" w:cs="Times New Roman"/>
          <w:sz w:val="24"/>
          <w:szCs w:val="24"/>
        </w:rPr>
        <w:t xml:space="preserve">utilizing only the DSP’s </w:t>
      </w:r>
      <w:r w:rsidR="00515002">
        <w:rPr>
          <w:rFonts w:ascii="Times New Roman" w:hAnsi="Times New Roman" w:cs="Times New Roman"/>
          <w:sz w:val="24"/>
          <w:szCs w:val="24"/>
        </w:rPr>
        <w:lastRenderedPageBreak/>
        <w:t>substation</w:t>
      </w:r>
      <w:r w:rsidR="00D4275D">
        <w:rPr>
          <w:rFonts w:ascii="Times New Roman" w:hAnsi="Times New Roman" w:cs="Times New Roman"/>
          <w:sz w:val="24"/>
          <w:szCs w:val="24"/>
        </w:rPr>
        <w:t xml:space="preserve"> when charging the battery</w:t>
      </w:r>
      <w:r w:rsidR="00515002">
        <w:rPr>
          <w:rFonts w:ascii="Times New Roman" w:hAnsi="Times New Roman" w:cs="Times New Roman"/>
          <w:sz w:val="24"/>
          <w:szCs w:val="24"/>
        </w:rPr>
        <w:t xml:space="preserve">.  Yet many DSP </w:t>
      </w:r>
      <w:r w:rsidR="001C2FB8">
        <w:rPr>
          <w:rFonts w:ascii="Times New Roman" w:hAnsi="Times New Roman" w:cs="Times New Roman"/>
          <w:sz w:val="24"/>
          <w:szCs w:val="24"/>
        </w:rPr>
        <w:t>tariffs recove</w:t>
      </w:r>
      <w:r w:rsidR="007F2DDC">
        <w:rPr>
          <w:rFonts w:ascii="Times New Roman" w:hAnsi="Times New Roman" w:cs="Times New Roman"/>
          <w:sz w:val="24"/>
          <w:szCs w:val="24"/>
        </w:rPr>
        <w:t>r</w:t>
      </w:r>
      <w:r w:rsidR="001C2FB8">
        <w:rPr>
          <w:rFonts w:ascii="Times New Roman" w:hAnsi="Times New Roman" w:cs="Times New Roman"/>
          <w:sz w:val="24"/>
          <w:szCs w:val="24"/>
        </w:rPr>
        <w:t xml:space="preserve"> the costs associated with the entire primary distribution system, which is not used by the DESR</w:t>
      </w:r>
      <w:r w:rsidR="007554C6">
        <w:rPr>
          <w:rFonts w:ascii="Times New Roman" w:hAnsi="Times New Roman" w:cs="Times New Roman"/>
          <w:sz w:val="24"/>
          <w:szCs w:val="24"/>
        </w:rPr>
        <w:t>.</w:t>
      </w:r>
      <w:r w:rsidR="001C2FB8">
        <w:rPr>
          <w:rFonts w:ascii="Times New Roman" w:hAnsi="Times New Roman" w:cs="Times New Roman"/>
          <w:sz w:val="24"/>
          <w:szCs w:val="24"/>
        </w:rPr>
        <w:t xml:space="preserve"> </w:t>
      </w:r>
      <w:r w:rsidR="007554C6">
        <w:rPr>
          <w:rFonts w:ascii="Times New Roman" w:hAnsi="Times New Roman" w:cs="Times New Roman"/>
          <w:sz w:val="24"/>
          <w:szCs w:val="24"/>
        </w:rPr>
        <w:t xml:space="preserve"> </w:t>
      </w:r>
      <w:r w:rsidR="00182E89">
        <w:rPr>
          <w:rFonts w:ascii="Times New Roman" w:hAnsi="Times New Roman" w:cs="Times New Roman"/>
          <w:sz w:val="24"/>
          <w:szCs w:val="24"/>
        </w:rPr>
        <w:t>The difference between a substation rate and a primary distribution rate are substantial</w:t>
      </w:r>
      <w:r w:rsidR="008400E9">
        <w:rPr>
          <w:rFonts w:ascii="Times New Roman" w:hAnsi="Times New Roman" w:cs="Times New Roman"/>
          <w:sz w:val="24"/>
          <w:szCs w:val="24"/>
        </w:rPr>
        <w:t>.  In Oncor’s case, for example,</w:t>
      </w:r>
      <w:r w:rsidR="00512C40">
        <w:rPr>
          <w:rFonts w:ascii="Times New Roman" w:hAnsi="Times New Roman" w:cs="Times New Roman"/>
          <w:sz w:val="24"/>
          <w:szCs w:val="24"/>
        </w:rPr>
        <w:t xml:space="preserve"> HEN incurs nearly tenfold the costs</w:t>
      </w:r>
      <w:r w:rsidR="002B6CB5">
        <w:rPr>
          <w:rFonts w:ascii="Times New Roman" w:hAnsi="Times New Roman" w:cs="Times New Roman"/>
          <w:sz w:val="24"/>
          <w:szCs w:val="24"/>
        </w:rPr>
        <w:t xml:space="preserve"> under Oncor’s</w:t>
      </w:r>
      <w:r w:rsidR="008400E9">
        <w:rPr>
          <w:rFonts w:ascii="Times New Roman" w:hAnsi="Times New Roman" w:cs="Times New Roman"/>
          <w:sz w:val="24"/>
          <w:szCs w:val="24"/>
        </w:rPr>
        <w:t xml:space="preserve"> </w:t>
      </w:r>
      <w:r w:rsidR="00512C40">
        <w:rPr>
          <w:rFonts w:ascii="Times New Roman" w:hAnsi="Times New Roman" w:cs="Times New Roman"/>
          <w:sz w:val="24"/>
          <w:szCs w:val="24"/>
        </w:rPr>
        <w:t xml:space="preserve">primary distribution rate </w:t>
      </w:r>
      <w:r w:rsidR="002B6CB5">
        <w:rPr>
          <w:rFonts w:ascii="Times New Roman" w:hAnsi="Times New Roman" w:cs="Times New Roman"/>
          <w:sz w:val="24"/>
          <w:szCs w:val="24"/>
        </w:rPr>
        <w:t>(Rate DLS) than under its substation rate (Rate XFMR).</w:t>
      </w:r>
      <w:r w:rsidR="00984547">
        <w:rPr>
          <w:rFonts w:ascii="Times New Roman" w:hAnsi="Times New Roman" w:cs="Times New Roman"/>
          <w:sz w:val="24"/>
          <w:szCs w:val="24"/>
        </w:rPr>
        <w:t xml:space="preserve">  </w:t>
      </w:r>
      <w:r w:rsidR="001C2FB8">
        <w:rPr>
          <w:rFonts w:ascii="Times New Roman" w:hAnsi="Times New Roman" w:cs="Times New Roman"/>
          <w:sz w:val="24"/>
          <w:szCs w:val="24"/>
        </w:rPr>
        <w:t>The difference in cost is substa</w:t>
      </w:r>
      <w:r w:rsidR="007F2DDC">
        <w:rPr>
          <w:rFonts w:ascii="Times New Roman" w:hAnsi="Times New Roman" w:cs="Times New Roman"/>
          <w:sz w:val="24"/>
          <w:szCs w:val="24"/>
        </w:rPr>
        <w:t>n</w:t>
      </w:r>
      <w:r w:rsidR="001C2FB8">
        <w:rPr>
          <w:rFonts w:ascii="Times New Roman" w:hAnsi="Times New Roman" w:cs="Times New Roman"/>
          <w:sz w:val="24"/>
          <w:szCs w:val="24"/>
        </w:rPr>
        <w:t>tial</w:t>
      </w:r>
      <w:r w:rsidR="00FA5D09">
        <w:rPr>
          <w:rFonts w:ascii="Times New Roman" w:hAnsi="Times New Roman" w:cs="Times New Roman"/>
          <w:sz w:val="24"/>
          <w:szCs w:val="24"/>
        </w:rPr>
        <w:t xml:space="preserve"> and </w:t>
      </w:r>
      <w:r w:rsidR="003248BD">
        <w:rPr>
          <w:rFonts w:ascii="Times New Roman" w:hAnsi="Times New Roman" w:cs="Times New Roman"/>
          <w:sz w:val="24"/>
          <w:szCs w:val="24"/>
        </w:rPr>
        <w:t>the</w:t>
      </w:r>
      <w:r w:rsidR="00FA5D09">
        <w:rPr>
          <w:rFonts w:ascii="Times New Roman" w:hAnsi="Times New Roman" w:cs="Times New Roman"/>
          <w:sz w:val="24"/>
          <w:szCs w:val="24"/>
        </w:rPr>
        <w:t xml:space="preserve"> tariffs do not provide clear, objective standards to </w:t>
      </w:r>
      <w:r w:rsidR="00D0568A">
        <w:rPr>
          <w:rFonts w:ascii="Times New Roman" w:hAnsi="Times New Roman" w:cs="Times New Roman"/>
          <w:sz w:val="24"/>
          <w:szCs w:val="24"/>
        </w:rPr>
        <w:t xml:space="preserve">determine which rate </w:t>
      </w:r>
      <w:r w:rsidR="00984547">
        <w:rPr>
          <w:rFonts w:ascii="Times New Roman" w:hAnsi="Times New Roman" w:cs="Times New Roman"/>
          <w:sz w:val="24"/>
          <w:szCs w:val="24"/>
        </w:rPr>
        <w:t>would apply</w:t>
      </w:r>
      <w:r w:rsidR="001C2FB8">
        <w:rPr>
          <w:rFonts w:ascii="Times New Roman" w:hAnsi="Times New Roman" w:cs="Times New Roman"/>
          <w:sz w:val="24"/>
          <w:szCs w:val="24"/>
        </w:rPr>
        <w:t>.</w:t>
      </w:r>
      <w:r w:rsidR="007F2DDC">
        <w:rPr>
          <w:rFonts w:ascii="Times New Roman" w:hAnsi="Times New Roman" w:cs="Times New Roman"/>
          <w:sz w:val="24"/>
          <w:szCs w:val="24"/>
        </w:rPr>
        <w:t xml:space="preserve">  </w:t>
      </w:r>
      <w:r w:rsidR="003248BD">
        <w:rPr>
          <w:rFonts w:ascii="Times New Roman" w:hAnsi="Times New Roman" w:cs="Times New Roman"/>
          <w:sz w:val="24"/>
          <w:szCs w:val="24"/>
        </w:rPr>
        <w:t xml:space="preserve">As an example, HEN has one </w:t>
      </w:r>
      <w:r w:rsidR="00D60042">
        <w:rPr>
          <w:rFonts w:ascii="Times New Roman" w:hAnsi="Times New Roman" w:cs="Times New Roman"/>
          <w:sz w:val="24"/>
          <w:szCs w:val="24"/>
        </w:rPr>
        <w:t xml:space="preserve">DESR </w:t>
      </w:r>
      <w:r w:rsidR="003248BD">
        <w:rPr>
          <w:rFonts w:ascii="Times New Roman" w:hAnsi="Times New Roman" w:cs="Times New Roman"/>
          <w:sz w:val="24"/>
          <w:szCs w:val="24"/>
        </w:rPr>
        <w:t xml:space="preserve">site within Oncor’s service area which is located 270 feet from the Oncor substation and it appropriately </w:t>
      </w:r>
      <w:r w:rsidR="00D60042">
        <w:rPr>
          <w:rFonts w:ascii="Times New Roman" w:hAnsi="Times New Roman" w:cs="Times New Roman"/>
          <w:sz w:val="24"/>
          <w:szCs w:val="24"/>
        </w:rPr>
        <w:t>is charged the substation rate.  However, at another HEN site,</w:t>
      </w:r>
      <w:r w:rsidR="00D23D48">
        <w:rPr>
          <w:rFonts w:ascii="Times New Roman" w:hAnsi="Times New Roman" w:cs="Times New Roman"/>
          <w:sz w:val="24"/>
          <w:szCs w:val="24"/>
        </w:rPr>
        <w:t xml:space="preserve"> the DESR is located 250 feet from the substation and that site is charged the DLS rate.  </w:t>
      </w:r>
      <w:r w:rsidR="00493049">
        <w:rPr>
          <w:rFonts w:ascii="Times New Roman" w:hAnsi="Times New Roman" w:cs="Times New Roman"/>
          <w:sz w:val="24"/>
          <w:szCs w:val="24"/>
        </w:rPr>
        <w:t>Thus, clear objective standards regarding the design</w:t>
      </w:r>
      <w:r w:rsidR="002A7DBD">
        <w:rPr>
          <w:rFonts w:ascii="Times New Roman" w:hAnsi="Times New Roman" w:cs="Times New Roman"/>
          <w:sz w:val="24"/>
          <w:szCs w:val="24"/>
        </w:rPr>
        <w:t xml:space="preserve"> and applicability</w:t>
      </w:r>
      <w:r w:rsidR="00493049">
        <w:rPr>
          <w:rFonts w:ascii="Times New Roman" w:hAnsi="Times New Roman" w:cs="Times New Roman"/>
          <w:sz w:val="24"/>
          <w:szCs w:val="24"/>
        </w:rPr>
        <w:t xml:space="preserve"> of the rate </w:t>
      </w:r>
      <w:r w:rsidR="002A7DBD">
        <w:rPr>
          <w:rFonts w:ascii="Times New Roman" w:hAnsi="Times New Roman" w:cs="Times New Roman"/>
          <w:sz w:val="24"/>
          <w:szCs w:val="24"/>
        </w:rPr>
        <w:t>should be established by rule.</w:t>
      </w:r>
      <w:r w:rsidR="00280E0D">
        <w:rPr>
          <w:rStyle w:val="FootnoteReference"/>
          <w:rFonts w:ascii="Times New Roman" w:hAnsi="Times New Roman" w:cs="Times New Roman"/>
          <w:sz w:val="24"/>
          <w:szCs w:val="24"/>
        </w:rPr>
        <w:footnoteReference w:id="17"/>
      </w:r>
    </w:p>
    <w:p w14:paraId="450D7EA6" w14:textId="6D32DFB2" w:rsidR="00BB3067" w:rsidRDefault="009967E9"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HEN’s experience, DSP wholesale distribution tariffs are often designed as though the customer is a consuming load, which a DESR is not.  A </w:t>
      </w:r>
      <w:r w:rsidR="0082316E">
        <w:rPr>
          <w:rFonts w:ascii="Times New Roman" w:hAnsi="Times New Roman" w:cs="Times New Roman"/>
          <w:sz w:val="24"/>
          <w:szCs w:val="24"/>
        </w:rPr>
        <w:t xml:space="preserve">battery is merely a way station, or a rest stop, for energy, and </w:t>
      </w:r>
      <w:r w:rsidR="00471A24">
        <w:rPr>
          <w:rFonts w:ascii="Times New Roman" w:hAnsi="Times New Roman" w:cs="Times New Roman"/>
          <w:sz w:val="24"/>
          <w:szCs w:val="24"/>
        </w:rPr>
        <w:t>the determination of when to charge and discharge is determined by the wholesale energy market and ERCOT’s dispatch instructions.  For these reasons, demand ratchets should not apply to thes</w:t>
      </w:r>
      <w:r w:rsidR="00775002">
        <w:rPr>
          <w:rFonts w:ascii="Times New Roman" w:hAnsi="Times New Roman" w:cs="Times New Roman"/>
          <w:sz w:val="24"/>
          <w:szCs w:val="24"/>
        </w:rPr>
        <w:t>e wholesale tariff</w:t>
      </w:r>
      <w:r w:rsidR="005E577C">
        <w:rPr>
          <w:rFonts w:ascii="Times New Roman" w:hAnsi="Times New Roman" w:cs="Times New Roman"/>
          <w:sz w:val="24"/>
          <w:szCs w:val="24"/>
        </w:rPr>
        <w:t xml:space="preserve"> charges</w:t>
      </w:r>
      <w:r w:rsidR="00775002">
        <w:rPr>
          <w:rFonts w:ascii="Times New Roman" w:hAnsi="Times New Roman" w:cs="Times New Roman"/>
          <w:sz w:val="24"/>
          <w:szCs w:val="24"/>
        </w:rPr>
        <w:t>.</w:t>
      </w:r>
      <w:r w:rsidR="00ED7E87">
        <w:rPr>
          <w:rFonts w:ascii="Times New Roman" w:hAnsi="Times New Roman" w:cs="Times New Roman"/>
          <w:sz w:val="24"/>
          <w:szCs w:val="24"/>
        </w:rPr>
        <w:t xml:space="preserve"> </w:t>
      </w:r>
      <w:r w:rsidR="00775002">
        <w:rPr>
          <w:rFonts w:ascii="Times New Roman" w:hAnsi="Times New Roman" w:cs="Times New Roman"/>
          <w:sz w:val="24"/>
          <w:szCs w:val="24"/>
        </w:rPr>
        <w:t xml:space="preserve">  The demand ratchet </w:t>
      </w:r>
      <w:r w:rsidR="00957C60">
        <w:rPr>
          <w:rFonts w:ascii="Times New Roman" w:hAnsi="Times New Roman" w:cs="Times New Roman"/>
          <w:sz w:val="24"/>
          <w:szCs w:val="24"/>
        </w:rPr>
        <w:t>serves</w:t>
      </w:r>
      <w:r w:rsidR="00775002">
        <w:rPr>
          <w:rFonts w:ascii="Times New Roman" w:hAnsi="Times New Roman" w:cs="Times New Roman"/>
          <w:sz w:val="24"/>
          <w:szCs w:val="24"/>
        </w:rPr>
        <w:t xml:space="preserve"> as an external limiting condition on the operation of the battery</w:t>
      </w:r>
      <w:r w:rsidR="00957C60">
        <w:rPr>
          <w:rFonts w:ascii="Times New Roman" w:hAnsi="Times New Roman" w:cs="Times New Roman"/>
          <w:sz w:val="24"/>
          <w:szCs w:val="24"/>
        </w:rPr>
        <w:t xml:space="preserve">, which reduces the effectiveness and responsiveness of the </w:t>
      </w:r>
      <w:r w:rsidR="007B347F">
        <w:rPr>
          <w:rFonts w:ascii="Times New Roman" w:hAnsi="Times New Roman" w:cs="Times New Roman"/>
          <w:sz w:val="24"/>
          <w:szCs w:val="24"/>
        </w:rPr>
        <w:t>Resource to ERCOT</w:t>
      </w:r>
      <w:r w:rsidR="00EE3087">
        <w:rPr>
          <w:rFonts w:ascii="Times New Roman" w:hAnsi="Times New Roman" w:cs="Times New Roman"/>
          <w:sz w:val="24"/>
          <w:szCs w:val="24"/>
        </w:rPr>
        <w:t>.</w:t>
      </w:r>
      <w:r w:rsidR="00050E12">
        <w:rPr>
          <w:rFonts w:ascii="Times New Roman" w:hAnsi="Times New Roman" w:cs="Times New Roman"/>
          <w:sz w:val="24"/>
          <w:szCs w:val="24"/>
        </w:rPr>
        <w:t xml:space="preserve">  </w:t>
      </w:r>
    </w:p>
    <w:p w14:paraId="1FAA2DEB" w14:textId="1FAB79ED" w:rsidR="00A60E9B" w:rsidRDefault="00A60E9B"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Finally, the standard interconnection allowance should be </w:t>
      </w:r>
      <w:r w:rsidR="000B4021">
        <w:rPr>
          <w:rFonts w:ascii="Times New Roman" w:hAnsi="Times New Roman" w:cs="Times New Roman"/>
          <w:sz w:val="24"/>
          <w:szCs w:val="24"/>
        </w:rPr>
        <w:t xml:space="preserve">incorporated into the conditions of the wholesale tariff.  To this end, </w:t>
      </w:r>
      <w:r w:rsidR="005E4688">
        <w:rPr>
          <w:rFonts w:ascii="Times New Roman" w:hAnsi="Times New Roman" w:cs="Times New Roman"/>
          <w:sz w:val="24"/>
          <w:szCs w:val="24"/>
        </w:rPr>
        <w:t xml:space="preserve">the Commission should ensure that all DESRs are treated equitably with respect to the </w:t>
      </w:r>
      <w:r w:rsidR="005544F0">
        <w:rPr>
          <w:rFonts w:ascii="Times New Roman" w:hAnsi="Times New Roman" w:cs="Times New Roman"/>
          <w:sz w:val="24"/>
          <w:szCs w:val="24"/>
        </w:rPr>
        <w:t xml:space="preserve">implementation of the allowance. </w:t>
      </w:r>
      <w:r w:rsidR="0028327A">
        <w:rPr>
          <w:rFonts w:ascii="Times New Roman" w:hAnsi="Times New Roman" w:cs="Times New Roman"/>
          <w:sz w:val="24"/>
          <w:szCs w:val="24"/>
        </w:rPr>
        <w:t xml:space="preserve"> The </w:t>
      </w:r>
      <w:r w:rsidR="00E4433E">
        <w:rPr>
          <w:rFonts w:ascii="Times New Roman" w:hAnsi="Times New Roman" w:cs="Times New Roman"/>
          <w:sz w:val="24"/>
          <w:szCs w:val="24"/>
        </w:rPr>
        <w:t xml:space="preserve">appropriate interconnection </w:t>
      </w:r>
      <w:r w:rsidR="002E42CB">
        <w:rPr>
          <w:rFonts w:ascii="Times New Roman" w:hAnsi="Times New Roman" w:cs="Times New Roman"/>
          <w:sz w:val="24"/>
          <w:szCs w:val="24"/>
        </w:rPr>
        <w:t xml:space="preserve">and cost recovery </w:t>
      </w:r>
      <w:r w:rsidR="00E4433E">
        <w:rPr>
          <w:rFonts w:ascii="Times New Roman" w:hAnsi="Times New Roman" w:cs="Times New Roman"/>
          <w:sz w:val="24"/>
          <w:szCs w:val="24"/>
        </w:rPr>
        <w:t>policy for DESRs</w:t>
      </w:r>
      <w:r w:rsidR="002E42CB">
        <w:rPr>
          <w:rFonts w:ascii="Times New Roman" w:hAnsi="Times New Roman" w:cs="Times New Roman"/>
          <w:sz w:val="24"/>
          <w:szCs w:val="24"/>
        </w:rPr>
        <w:t xml:space="preserve"> </w:t>
      </w:r>
      <w:r w:rsidR="00E4433E">
        <w:rPr>
          <w:rFonts w:ascii="Times New Roman" w:hAnsi="Times New Roman" w:cs="Times New Roman"/>
          <w:sz w:val="24"/>
          <w:szCs w:val="24"/>
        </w:rPr>
        <w:t>has been pending at the Commission</w:t>
      </w:r>
      <w:r w:rsidR="002E42CB">
        <w:rPr>
          <w:rFonts w:ascii="Times New Roman" w:hAnsi="Times New Roman" w:cs="Times New Roman"/>
          <w:sz w:val="24"/>
          <w:szCs w:val="24"/>
        </w:rPr>
        <w:t xml:space="preserve"> for multiple years.  During this time, while urging for policy </w:t>
      </w:r>
      <w:r w:rsidR="008D21A1">
        <w:rPr>
          <w:rFonts w:ascii="Times New Roman" w:hAnsi="Times New Roman" w:cs="Times New Roman"/>
          <w:sz w:val="24"/>
          <w:szCs w:val="24"/>
        </w:rPr>
        <w:t xml:space="preserve">resolution and participating in both informal and formal proceedings </w:t>
      </w:r>
      <w:r w:rsidR="004F4766">
        <w:rPr>
          <w:rFonts w:ascii="Times New Roman" w:hAnsi="Times New Roman" w:cs="Times New Roman"/>
          <w:sz w:val="24"/>
          <w:szCs w:val="24"/>
        </w:rPr>
        <w:t>at the Commission, HEN and other early DESR mover</w:t>
      </w:r>
      <w:r w:rsidR="00B748F5">
        <w:rPr>
          <w:rFonts w:ascii="Times New Roman" w:hAnsi="Times New Roman" w:cs="Times New Roman"/>
          <w:sz w:val="24"/>
          <w:szCs w:val="24"/>
        </w:rPr>
        <w:t>s</w:t>
      </w:r>
      <w:r w:rsidR="004F4766">
        <w:rPr>
          <w:rFonts w:ascii="Times New Roman" w:hAnsi="Times New Roman" w:cs="Times New Roman"/>
          <w:sz w:val="24"/>
          <w:szCs w:val="24"/>
        </w:rPr>
        <w:t xml:space="preserve"> have</w:t>
      </w:r>
      <w:r w:rsidR="005544F0">
        <w:rPr>
          <w:rFonts w:ascii="Times New Roman" w:hAnsi="Times New Roman" w:cs="Times New Roman"/>
          <w:sz w:val="24"/>
          <w:szCs w:val="24"/>
        </w:rPr>
        <w:t xml:space="preserve"> paid substantial CIAC charges to the </w:t>
      </w:r>
      <w:r w:rsidR="0028327A">
        <w:rPr>
          <w:rFonts w:ascii="Times New Roman" w:hAnsi="Times New Roman" w:cs="Times New Roman"/>
          <w:sz w:val="24"/>
          <w:szCs w:val="24"/>
        </w:rPr>
        <w:t xml:space="preserve">DSPs </w:t>
      </w:r>
      <w:r w:rsidR="004F4766">
        <w:rPr>
          <w:rFonts w:ascii="Times New Roman" w:hAnsi="Times New Roman" w:cs="Times New Roman"/>
          <w:sz w:val="24"/>
          <w:szCs w:val="24"/>
        </w:rPr>
        <w:t xml:space="preserve">for interconnection costs.  Now </w:t>
      </w:r>
      <w:r w:rsidR="007F498D">
        <w:rPr>
          <w:rFonts w:ascii="Times New Roman" w:hAnsi="Times New Roman" w:cs="Times New Roman"/>
          <w:sz w:val="24"/>
          <w:szCs w:val="24"/>
        </w:rPr>
        <w:t>H</w:t>
      </w:r>
      <w:r w:rsidR="0055239E">
        <w:rPr>
          <w:rFonts w:ascii="Times New Roman" w:hAnsi="Times New Roman" w:cs="Times New Roman"/>
          <w:sz w:val="24"/>
          <w:szCs w:val="24"/>
        </w:rPr>
        <w:t>EN</w:t>
      </w:r>
      <w:r w:rsidR="007F498D">
        <w:rPr>
          <w:rFonts w:ascii="Times New Roman" w:hAnsi="Times New Roman" w:cs="Times New Roman"/>
          <w:sz w:val="24"/>
          <w:szCs w:val="24"/>
        </w:rPr>
        <w:t xml:space="preserve"> is</w:t>
      </w:r>
      <w:r w:rsidR="004F4766">
        <w:rPr>
          <w:rFonts w:ascii="Times New Roman" w:hAnsi="Times New Roman" w:cs="Times New Roman"/>
          <w:sz w:val="24"/>
          <w:szCs w:val="24"/>
        </w:rPr>
        <w:t xml:space="preserve"> also paying </w:t>
      </w:r>
      <w:r w:rsidR="004312DA">
        <w:rPr>
          <w:rFonts w:ascii="Times New Roman" w:hAnsi="Times New Roman" w:cs="Times New Roman"/>
          <w:sz w:val="24"/>
          <w:szCs w:val="24"/>
        </w:rPr>
        <w:t xml:space="preserve">substantial monthly wholesale delivery charges. </w:t>
      </w:r>
      <w:r w:rsidR="00A5409C">
        <w:rPr>
          <w:rFonts w:ascii="Times New Roman" w:hAnsi="Times New Roman" w:cs="Times New Roman"/>
          <w:sz w:val="24"/>
          <w:szCs w:val="24"/>
        </w:rPr>
        <w:t xml:space="preserve">If the delivery charges remain in exchange for a meaningful interconnection allowance, then </w:t>
      </w:r>
      <w:r w:rsidR="00010F00">
        <w:rPr>
          <w:rFonts w:ascii="Times New Roman" w:hAnsi="Times New Roman" w:cs="Times New Roman"/>
          <w:sz w:val="24"/>
          <w:szCs w:val="24"/>
        </w:rPr>
        <w:t xml:space="preserve">that allowance should be </w:t>
      </w:r>
      <w:r w:rsidR="00E76BB2">
        <w:rPr>
          <w:rFonts w:ascii="Times New Roman" w:hAnsi="Times New Roman" w:cs="Times New Roman"/>
          <w:sz w:val="24"/>
          <w:szCs w:val="24"/>
        </w:rPr>
        <w:t xml:space="preserve">reflected as a credit on the DSP’s monthly bill for DESRs that </w:t>
      </w:r>
      <w:r w:rsidR="00906139">
        <w:rPr>
          <w:rFonts w:ascii="Times New Roman" w:hAnsi="Times New Roman" w:cs="Times New Roman"/>
          <w:sz w:val="24"/>
          <w:szCs w:val="24"/>
        </w:rPr>
        <w:t>paid the full CIAC and are now also paying monthly tariffed rates.</w:t>
      </w:r>
      <w:r w:rsidR="00B748F5">
        <w:rPr>
          <w:rFonts w:ascii="Times New Roman" w:hAnsi="Times New Roman" w:cs="Times New Roman"/>
          <w:sz w:val="24"/>
          <w:szCs w:val="24"/>
        </w:rPr>
        <w:t xml:space="preserve">  To do otherwise would penalize </w:t>
      </w:r>
      <w:r w:rsidR="002A4B8C">
        <w:rPr>
          <w:rFonts w:ascii="Times New Roman" w:hAnsi="Times New Roman" w:cs="Times New Roman"/>
          <w:sz w:val="24"/>
          <w:szCs w:val="24"/>
        </w:rPr>
        <w:t xml:space="preserve">those early developers that have been patiently </w:t>
      </w:r>
      <w:r w:rsidR="00174A16">
        <w:rPr>
          <w:rFonts w:ascii="Times New Roman" w:hAnsi="Times New Roman" w:cs="Times New Roman"/>
          <w:sz w:val="24"/>
          <w:szCs w:val="24"/>
        </w:rPr>
        <w:t xml:space="preserve">awaiting Commission policy </w:t>
      </w:r>
      <w:r w:rsidR="006660D5">
        <w:rPr>
          <w:rFonts w:ascii="Times New Roman" w:hAnsi="Times New Roman" w:cs="Times New Roman"/>
          <w:sz w:val="24"/>
          <w:szCs w:val="24"/>
        </w:rPr>
        <w:t>resolution of these cost recovery issues.</w:t>
      </w:r>
    </w:p>
    <w:p w14:paraId="08632D05" w14:textId="23FC8FF9" w:rsidR="0016572A" w:rsidRDefault="0016572A" w:rsidP="005449B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HEN urges the Commission to reject </w:t>
      </w:r>
      <w:r w:rsidR="0096655E">
        <w:rPr>
          <w:rFonts w:ascii="Times New Roman" w:hAnsi="Times New Roman" w:cs="Times New Roman"/>
          <w:sz w:val="24"/>
          <w:szCs w:val="24"/>
        </w:rPr>
        <w:t xml:space="preserve">wholesale delivery tariffs for DESRs, but if it decides to permit such tariffs, then HEN strongly requests that </w:t>
      </w:r>
      <w:r w:rsidR="004A0F56">
        <w:rPr>
          <w:rFonts w:ascii="Times New Roman" w:hAnsi="Times New Roman" w:cs="Times New Roman"/>
          <w:sz w:val="24"/>
          <w:szCs w:val="24"/>
        </w:rPr>
        <w:t xml:space="preserve">the </w:t>
      </w:r>
      <w:r w:rsidR="00CC5179">
        <w:rPr>
          <w:rFonts w:ascii="Times New Roman" w:hAnsi="Times New Roman" w:cs="Times New Roman"/>
          <w:sz w:val="24"/>
          <w:szCs w:val="24"/>
        </w:rPr>
        <w:t>tariff design and conditions be established uniformly</w:t>
      </w:r>
      <w:r w:rsidR="00CA4308">
        <w:rPr>
          <w:rFonts w:ascii="Times New Roman" w:hAnsi="Times New Roman" w:cs="Times New Roman"/>
          <w:sz w:val="24"/>
          <w:szCs w:val="24"/>
        </w:rPr>
        <w:t xml:space="preserve">, by rule, </w:t>
      </w:r>
      <w:r w:rsidR="00CC5179">
        <w:rPr>
          <w:rFonts w:ascii="Times New Roman" w:hAnsi="Times New Roman" w:cs="Times New Roman"/>
          <w:sz w:val="24"/>
          <w:szCs w:val="24"/>
        </w:rPr>
        <w:t>for all DSPs, including electric cooperatives and munici</w:t>
      </w:r>
      <w:r w:rsidR="00CA4308">
        <w:rPr>
          <w:rFonts w:ascii="Times New Roman" w:hAnsi="Times New Roman" w:cs="Times New Roman"/>
          <w:sz w:val="24"/>
          <w:szCs w:val="24"/>
        </w:rPr>
        <w:t>pally-owned utilities.</w:t>
      </w:r>
    </w:p>
    <w:p w14:paraId="590905DB" w14:textId="77777777" w:rsidR="00CF51DF" w:rsidRDefault="00CF51DF" w:rsidP="00BB5487">
      <w:pPr>
        <w:pStyle w:val="paragraph"/>
        <w:spacing w:before="0" w:beforeAutospacing="0" w:after="0" w:afterAutospacing="0"/>
        <w:jc w:val="center"/>
        <w:textAlignment w:val="baseline"/>
        <w:rPr>
          <w:rStyle w:val="normaltextrun"/>
          <w:b/>
          <w:bCs/>
          <w:color w:val="000000"/>
          <w:bdr w:val="none" w:sz="0" w:space="0" w:color="auto" w:frame="1"/>
        </w:rPr>
      </w:pPr>
    </w:p>
    <w:p w14:paraId="0EE39AD5" w14:textId="77777777" w:rsidR="00CF51DF" w:rsidRDefault="00CF51DF" w:rsidP="00BB5487">
      <w:pPr>
        <w:pStyle w:val="paragraph"/>
        <w:spacing w:before="0" w:beforeAutospacing="0" w:after="0" w:afterAutospacing="0"/>
        <w:jc w:val="center"/>
        <w:textAlignment w:val="baseline"/>
        <w:rPr>
          <w:rStyle w:val="normaltextrun"/>
          <w:b/>
          <w:bCs/>
          <w:color w:val="000000"/>
          <w:bdr w:val="none" w:sz="0" w:space="0" w:color="auto" w:frame="1"/>
        </w:rPr>
      </w:pPr>
    </w:p>
    <w:p w14:paraId="683F2217" w14:textId="4A32834A" w:rsidR="00BB5487" w:rsidRPr="00253601" w:rsidRDefault="00BB5487" w:rsidP="00BB5487">
      <w:pPr>
        <w:pStyle w:val="paragraph"/>
        <w:spacing w:before="0" w:beforeAutospacing="0" w:after="0" w:afterAutospacing="0"/>
        <w:jc w:val="center"/>
        <w:textAlignment w:val="baseline"/>
        <w:rPr>
          <w:rStyle w:val="normaltextrun"/>
          <w:rFonts w:eastAsiaTheme="majorEastAsia"/>
        </w:rPr>
      </w:pPr>
      <w:r w:rsidRPr="00253601">
        <w:rPr>
          <w:rStyle w:val="normaltextrun"/>
          <w:b/>
          <w:bCs/>
          <w:color w:val="000000"/>
          <w:bdr w:val="none" w:sz="0" w:space="0" w:color="auto" w:frame="1"/>
        </w:rPr>
        <w:t>CONCLUSION</w:t>
      </w:r>
    </w:p>
    <w:p w14:paraId="590BB2C8" w14:textId="77777777" w:rsidR="00BB5487" w:rsidRPr="00253601" w:rsidRDefault="00BB5487" w:rsidP="00BB5487">
      <w:pPr>
        <w:pStyle w:val="paragraph"/>
        <w:spacing w:before="0" w:beforeAutospacing="0" w:after="0" w:afterAutospacing="0"/>
        <w:jc w:val="both"/>
        <w:textAlignment w:val="baseline"/>
        <w:rPr>
          <w:rStyle w:val="normaltextrun"/>
          <w:rFonts w:eastAsiaTheme="majorEastAsia"/>
        </w:rPr>
      </w:pPr>
    </w:p>
    <w:p w14:paraId="30D6881C" w14:textId="77777777" w:rsidR="00BB5487" w:rsidRPr="00253601" w:rsidRDefault="00BB5487" w:rsidP="00BB5487">
      <w:pPr>
        <w:pStyle w:val="paragraph"/>
        <w:spacing w:before="0" w:beforeAutospacing="0" w:after="0" w:afterAutospacing="0"/>
        <w:jc w:val="both"/>
        <w:textAlignment w:val="baseline"/>
      </w:pPr>
      <w:r w:rsidRPr="00253601">
        <w:rPr>
          <w:rStyle w:val="normaltextrun"/>
          <w:rFonts w:eastAsiaTheme="majorEastAsia"/>
        </w:rPr>
        <w:t>HEN appreciates the opportunity to offer these comments and is available to answer questions the Commission may have.</w:t>
      </w:r>
      <w:r w:rsidRPr="00253601">
        <w:rPr>
          <w:rStyle w:val="eop"/>
        </w:rPr>
        <w:t> </w:t>
      </w:r>
    </w:p>
    <w:p w14:paraId="313071C4" w14:textId="77777777" w:rsidR="00BB5487" w:rsidRPr="00253601" w:rsidRDefault="00BB5487" w:rsidP="00BB5487">
      <w:pPr>
        <w:pStyle w:val="paragraph"/>
        <w:spacing w:before="0" w:beforeAutospacing="0" w:after="0" w:afterAutospacing="0"/>
        <w:textAlignment w:val="baseline"/>
      </w:pPr>
      <w:r w:rsidRPr="00253601">
        <w:rPr>
          <w:rStyle w:val="eop"/>
        </w:rPr>
        <w:t> </w:t>
      </w:r>
    </w:p>
    <w:p w14:paraId="2A892CA5" w14:textId="77777777" w:rsidR="00BB5487" w:rsidRPr="00253601" w:rsidRDefault="00BB5487" w:rsidP="00BB5487">
      <w:pPr>
        <w:pStyle w:val="paragraph"/>
        <w:spacing w:before="0" w:beforeAutospacing="0" w:after="0" w:afterAutospacing="0"/>
        <w:textAlignment w:val="baseline"/>
      </w:pPr>
      <w:r w:rsidRPr="00253601">
        <w:rPr>
          <w:rStyle w:val="eop"/>
        </w:rPr>
        <w:t> </w:t>
      </w:r>
    </w:p>
    <w:p w14:paraId="6B827182" w14:textId="77777777" w:rsidR="00BB5487" w:rsidRPr="00253601" w:rsidRDefault="00BB5487" w:rsidP="005C1740">
      <w:pPr>
        <w:pStyle w:val="paragraph"/>
        <w:spacing w:before="0" w:beforeAutospacing="0" w:after="0" w:afterAutospacing="0"/>
        <w:ind w:left="720" w:firstLine="4320"/>
        <w:textAlignment w:val="baseline"/>
      </w:pPr>
      <w:r w:rsidRPr="00253601">
        <w:rPr>
          <w:rStyle w:val="normaltextrun"/>
          <w:rFonts w:eastAsiaTheme="majorEastAsia"/>
        </w:rPr>
        <w:t>Respectfully submitted,</w:t>
      </w:r>
      <w:r w:rsidRPr="00253601">
        <w:rPr>
          <w:rStyle w:val="eop"/>
        </w:rPr>
        <w:t> </w:t>
      </w:r>
    </w:p>
    <w:p w14:paraId="06497194" w14:textId="77777777" w:rsidR="00BB5487" w:rsidRPr="00253601" w:rsidRDefault="00BB5487" w:rsidP="00BB5487">
      <w:pPr>
        <w:pStyle w:val="paragraph"/>
        <w:spacing w:before="0" w:beforeAutospacing="0" w:after="0" w:afterAutospacing="0"/>
        <w:textAlignment w:val="baseline"/>
      </w:pPr>
      <w:r w:rsidRPr="00253601">
        <w:rPr>
          <w:rStyle w:val="eop"/>
        </w:rPr>
        <w:t> </w:t>
      </w:r>
    </w:p>
    <w:p w14:paraId="4A96FD3A" w14:textId="77777777" w:rsidR="00BB5487" w:rsidRPr="00253601" w:rsidRDefault="00BB5487" w:rsidP="00BB5487">
      <w:pPr>
        <w:pStyle w:val="paragraph"/>
        <w:spacing w:before="0" w:beforeAutospacing="0" w:after="0" w:afterAutospacing="0"/>
        <w:textAlignment w:val="baseline"/>
      </w:pPr>
      <w:r w:rsidRPr="00253601">
        <w:rPr>
          <w:rStyle w:val="eop"/>
        </w:rPr>
        <w:t> </w:t>
      </w:r>
    </w:p>
    <w:p w14:paraId="1D7D7855" w14:textId="7FE0689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u w:val="single"/>
        </w:rPr>
        <w:t xml:space="preserve">/s/ </w:t>
      </w:r>
      <w:r w:rsidRPr="002958D6">
        <w:rPr>
          <w:rStyle w:val="normaltextrun"/>
          <w:rFonts w:eastAsiaTheme="majorEastAsia"/>
          <w:i/>
          <w:iCs/>
          <w:u w:val="single"/>
        </w:rPr>
        <w:t>Pat Wood</w:t>
      </w:r>
      <w:r w:rsidR="00E74401">
        <w:rPr>
          <w:rStyle w:val="normaltextrun"/>
          <w:rFonts w:eastAsiaTheme="majorEastAsia"/>
          <w:i/>
          <w:iCs/>
          <w:u w:val="single"/>
        </w:rPr>
        <w:t>,</w:t>
      </w:r>
      <w:r w:rsidRPr="002958D6">
        <w:rPr>
          <w:rStyle w:val="normaltextrun"/>
          <w:rFonts w:eastAsiaTheme="majorEastAsia"/>
          <w:i/>
          <w:iCs/>
          <w:u w:val="single"/>
        </w:rPr>
        <w:t xml:space="preserve"> III</w:t>
      </w:r>
    </w:p>
    <w:p w14:paraId="717E1BAF" w14:textId="77777777" w:rsidR="00BB5487" w:rsidRPr="00253601" w:rsidRDefault="00BB5487" w:rsidP="00BB5487">
      <w:pPr>
        <w:pStyle w:val="paragraph"/>
        <w:spacing w:before="0" w:beforeAutospacing="0" w:after="0" w:afterAutospacing="0"/>
        <w:ind w:firstLine="720"/>
        <w:textAlignment w:val="baseline"/>
      </w:pPr>
      <w:r w:rsidRPr="00253601">
        <w:rPr>
          <w:rStyle w:val="eop"/>
        </w:rPr>
        <w:t> </w:t>
      </w:r>
    </w:p>
    <w:p w14:paraId="0DF8FB5E" w14:textId="3E8B5ED0" w:rsidR="00BB5487" w:rsidRPr="00253601" w:rsidRDefault="00BB5487" w:rsidP="00BB5487">
      <w:pPr>
        <w:pStyle w:val="paragraph"/>
        <w:spacing w:before="0" w:beforeAutospacing="0" w:after="0" w:afterAutospacing="0"/>
        <w:ind w:left="720" w:firstLine="4320"/>
        <w:textAlignment w:val="baseline"/>
      </w:pPr>
      <w:r>
        <w:rPr>
          <w:rStyle w:val="normaltextrun"/>
          <w:rFonts w:eastAsiaTheme="majorEastAsia"/>
        </w:rPr>
        <w:t>Pat Wood</w:t>
      </w:r>
      <w:r w:rsidR="00E74401">
        <w:rPr>
          <w:rStyle w:val="normaltextrun"/>
          <w:rFonts w:eastAsiaTheme="majorEastAsia"/>
        </w:rPr>
        <w:t>, III</w:t>
      </w:r>
    </w:p>
    <w:p w14:paraId="23D0031E" w14:textId="77777777" w:rsidR="00BB5487" w:rsidRPr="00253601" w:rsidRDefault="00BB5487" w:rsidP="00BB5487">
      <w:pPr>
        <w:pStyle w:val="paragraph"/>
        <w:spacing w:before="0" w:beforeAutospacing="0" w:after="0" w:afterAutospacing="0"/>
        <w:ind w:left="720" w:firstLine="4320"/>
        <w:textAlignment w:val="baseline"/>
      </w:pPr>
      <w:r>
        <w:rPr>
          <w:rStyle w:val="normaltextrun"/>
          <w:rFonts w:eastAsiaTheme="majorEastAsia"/>
        </w:rPr>
        <w:t>CEO</w:t>
      </w:r>
    </w:p>
    <w:p w14:paraId="7E1451B0" w14:textId="7777777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rPr>
        <w:t>Hunt Energy Network L.L.C.</w:t>
      </w:r>
      <w:r w:rsidRPr="00253601">
        <w:rPr>
          <w:rStyle w:val="eop"/>
        </w:rPr>
        <w:t> </w:t>
      </w:r>
    </w:p>
    <w:p w14:paraId="6C8ECB30" w14:textId="7777777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rPr>
        <w:t>1900 North Akard Street</w:t>
      </w:r>
      <w:r w:rsidRPr="00253601">
        <w:rPr>
          <w:rStyle w:val="eop"/>
        </w:rPr>
        <w:t> </w:t>
      </w:r>
    </w:p>
    <w:p w14:paraId="3D15F330" w14:textId="7777777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rPr>
        <w:t>Dallas, Texas 75201</w:t>
      </w:r>
      <w:r w:rsidRPr="00253601">
        <w:rPr>
          <w:rStyle w:val="eop"/>
        </w:rPr>
        <w:t> </w:t>
      </w:r>
    </w:p>
    <w:p w14:paraId="0E1F50EE" w14:textId="45230286" w:rsidR="00BB5487" w:rsidRDefault="00BB5487" w:rsidP="00BB5487">
      <w:pPr>
        <w:pStyle w:val="paragraph"/>
        <w:spacing w:before="0" w:beforeAutospacing="0" w:after="0" w:afterAutospacing="0"/>
        <w:textAlignment w:val="baseline"/>
        <w:rPr>
          <w:rStyle w:val="eop"/>
        </w:rPr>
      </w:pPr>
      <w:r w:rsidRPr="00253601">
        <w:rPr>
          <w:rStyle w:val="eop"/>
        </w:rPr>
        <w:t> </w:t>
      </w:r>
      <w:r w:rsidRPr="00253601">
        <w:rPr>
          <w:rStyle w:val="eop"/>
        </w:rPr>
        <w:tab/>
      </w:r>
      <w:r w:rsidRPr="00253601">
        <w:rPr>
          <w:rStyle w:val="eop"/>
        </w:rPr>
        <w:tab/>
      </w:r>
      <w:r w:rsidRPr="00253601">
        <w:rPr>
          <w:rStyle w:val="eop"/>
        </w:rPr>
        <w:tab/>
      </w:r>
      <w:r w:rsidRPr="00253601">
        <w:rPr>
          <w:rStyle w:val="eop"/>
        </w:rPr>
        <w:tab/>
      </w:r>
      <w:r w:rsidRPr="00253601">
        <w:rPr>
          <w:rStyle w:val="eop"/>
        </w:rPr>
        <w:tab/>
      </w:r>
      <w:r w:rsidRPr="00253601">
        <w:rPr>
          <w:rStyle w:val="eop"/>
        </w:rPr>
        <w:tab/>
      </w:r>
      <w:r>
        <w:rPr>
          <w:rStyle w:val="eop"/>
        </w:rPr>
        <w:tab/>
      </w:r>
      <w:hyperlink r:id="rId11" w:history="1">
        <w:r w:rsidRPr="003B249D">
          <w:rPr>
            <w:rStyle w:val="Hyperlink"/>
          </w:rPr>
          <w:t>pwood</w:t>
        </w:r>
        <w:r w:rsidRPr="003B249D">
          <w:rPr>
            <w:rStyle w:val="Hyperlink"/>
            <w:rFonts w:eastAsiaTheme="majorEastAsia"/>
          </w:rPr>
          <w:t>@huntenergy.com</w:t>
        </w:r>
      </w:hyperlink>
      <w:r w:rsidRPr="00253601">
        <w:rPr>
          <w:rStyle w:val="eop"/>
        </w:rPr>
        <w:t> </w:t>
      </w:r>
    </w:p>
    <w:p w14:paraId="4E2102C3" w14:textId="77777777" w:rsidR="00BB5487" w:rsidRDefault="00BB5487" w:rsidP="00BB5487">
      <w:pPr>
        <w:pStyle w:val="paragraph"/>
        <w:spacing w:before="0" w:beforeAutospacing="0" w:after="0" w:afterAutospacing="0"/>
        <w:textAlignment w:val="baseline"/>
        <w:rPr>
          <w:rStyle w:val="eop"/>
        </w:rPr>
      </w:pPr>
    </w:p>
    <w:p w14:paraId="34A57C34" w14:textId="77777777" w:rsidR="00BB5487" w:rsidRDefault="00BB5487" w:rsidP="00BB5487">
      <w:pPr>
        <w:pStyle w:val="paragraph"/>
        <w:spacing w:before="0" w:beforeAutospacing="0" w:after="0" w:afterAutospacing="0"/>
        <w:ind w:left="720" w:firstLine="4320"/>
        <w:textAlignment w:val="baseline"/>
        <w:rPr>
          <w:rStyle w:val="normaltextrun"/>
          <w:rFonts w:eastAsiaTheme="majorEastAsia"/>
          <w:u w:val="single"/>
        </w:rPr>
      </w:pPr>
    </w:p>
    <w:p w14:paraId="40DDAA73" w14:textId="2BA6874B"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u w:val="single"/>
        </w:rPr>
        <w:t xml:space="preserve">/s/ </w:t>
      </w:r>
      <w:r>
        <w:rPr>
          <w:rStyle w:val="normaltextrun"/>
          <w:rFonts w:eastAsiaTheme="majorEastAsia"/>
          <w:i/>
          <w:iCs/>
          <w:u w:val="single"/>
        </w:rPr>
        <w:t>Stephanie Kroger</w:t>
      </w:r>
    </w:p>
    <w:p w14:paraId="12E0CD6E" w14:textId="77777777" w:rsidR="00BB5487" w:rsidRPr="00253601" w:rsidRDefault="00BB5487" w:rsidP="00BB5487">
      <w:pPr>
        <w:pStyle w:val="paragraph"/>
        <w:spacing w:before="0" w:beforeAutospacing="0" w:after="0" w:afterAutospacing="0"/>
        <w:ind w:firstLine="720"/>
        <w:textAlignment w:val="baseline"/>
      </w:pPr>
      <w:r w:rsidRPr="00253601">
        <w:rPr>
          <w:rStyle w:val="eop"/>
        </w:rPr>
        <w:t> </w:t>
      </w:r>
    </w:p>
    <w:p w14:paraId="5535ABA8" w14:textId="5C60F9C5" w:rsidR="00BB5487" w:rsidRPr="00253601" w:rsidRDefault="00CB2BC1" w:rsidP="00BB5487">
      <w:pPr>
        <w:pStyle w:val="paragraph"/>
        <w:spacing w:before="0" w:beforeAutospacing="0" w:after="0" w:afterAutospacing="0"/>
        <w:ind w:left="720" w:firstLine="4320"/>
        <w:textAlignment w:val="baseline"/>
      </w:pPr>
      <w:r>
        <w:rPr>
          <w:rStyle w:val="normaltextrun"/>
          <w:rFonts w:eastAsiaTheme="majorEastAsia"/>
        </w:rPr>
        <w:t>Stephanie Kroger</w:t>
      </w:r>
    </w:p>
    <w:p w14:paraId="07073CCD" w14:textId="29A2A774" w:rsidR="00BB5487" w:rsidRPr="00253601" w:rsidRDefault="00CB2BC1" w:rsidP="00CB2BC1">
      <w:pPr>
        <w:pStyle w:val="paragraph"/>
        <w:spacing w:before="0" w:beforeAutospacing="0" w:after="0" w:afterAutospacing="0"/>
        <w:ind w:left="5040"/>
        <w:textAlignment w:val="baseline"/>
      </w:pPr>
      <w:r>
        <w:rPr>
          <w:rStyle w:val="normaltextrun"/>
          <w:rFonts w:eastAsiaTheme="majorEastAsia"/>
        </w:rPr>
        <w:t>Sr. VP Regulatory and Business Development</w:t>
      </w:r>
    </w:p>
    <w:p w14:paraId="3BB4461C" w14:textId="7777777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rPr>
        <w:t>Hunt Energy Network L.L.C.</w:t>
      </w:r>
      <w:r w:rsidRPr="00253601">
        <w:rPr>
          <w:rStyle w:val="eop"/>
        </w:rPr>
        <w:t> </w:t>
      </w:r>
    </w:p>
    <w:p w14:paraId="0DF27E83" w14:textId="7777777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rPr>
        <w:t>1900 North Akard Street</w:t>
      </w:r>
      <w:r w:rsidRPr="00253601">
        <w:rPr>
          <w:rStyle w:val="eop"/>
        </w:rPr>
        <w:t> </w:t>
      </w:r>
    </w:p>
    <w:p w14:paraId="2AEC0F01" w14:textId="77777777" w:rsidR="00BB5487" w:rsidRPr="00253601" w:rsidRDefault="00BB5487" w:rsidP="00BB5487">
      <w:pPr>
        <w:pStyle w:val="paragraph"/>
        <w:spacing w:before="0" w:beforeAutospacing="0" w:after="0" w:afterAutospacing="0"/>
        <w:ind w:left="720" w:firstLine="4320"/>
        <w:textAlignment w:val="baseline"/>
      </w:pPr>
      <w:r w:rsidRPr="00253601">
        <w:rPr>
          <w:rStyle w:val="normaltextrun"/>
          <w:rFonts w:eastAsiaTheme="majorEastAsia"/>
        </w:rPr>
        <w:t>Dallas, Texas 75201</w:t>
      </w:r>
      <w:r w:rsidRPr="00253601">
        <w:rPr>
          <w:rStyle w:val="eop"/>
        </w:rPr>
        <w:t> </w:t>
      </w:r>
    </w:p>
    <w:p w14:paraId="3D0861AB" w14:textId="7AABD8D4" w:rsidR="00BB5487" w:rsidRDefault="00BB5487" w:rsidP="00BB5487">
      <w:pPr>
        <w:pStyle w:val="paragraph"/>
        <w:spacing w:before="0" w:beforeAutospacing="0" w:after="0" w:afterAutospacing="0"/>
        <w:textAlignment w:val="baseline"/>
        <w:rPr>
          <w:rStyle w:val="eop"/>
        </w:rPr>
      </w:pPr>
      <w:r w:rsidRPr="00253601">
        <w:rPr>
          <w:rStyle w:val="eop"/>
        </w:rPr>
        <w:t> </w:t>
      </w:r>
      <w:r w:rsidRPr="00253601">
        <w:rPr>
          <w:rStyle w:val="eop"/>
        </w:rPr>
        <w:tab/>
      </w:r>
      <w:r w:rsidRPr="00253601">
        <w:rPr>
          <w:rStyle w:val="eop"/>
        </w:rPr>
        <w:tab/>
      </w:r>
      <w:r w:rsidRPr="00253601">
        <w:rPr>
          <w:rStyle w:val="eop"/>
        </w:rPr>
        <w:tab/>
      </w:r>
      <w:r w:rsidRPr="00253601">
        <w:rPr>
          <w:rStyle w:val="eop"/>
        </w:rPr>
        <w:tab/>
      </w:r>
      <w:r w:rsidRPr="00253601">
        <w:rPr>
          <w:rStyle w:val="eop"/>
        </w:rPr>
        <w:tab/>
      </w:r>
      <w:r w:rsidRPr="00253601">
        <w:rPr>
          <w:rStyle w:val="eop"/>
        </w:rPr>
        <w:tab/>
      </w:r>
      <w:r>
        <w:rPr>
          <w:rStyle w:val="eop"/>
        </w:rPr>
        <w:tab/>
      </w:r>
      <w:hyperlink r:id="rId12" w:history="1">
        <w:r w:rsidR="005C1740" w:rsidRPr="003B249D">
          <w:rPr>
            <w:rStyle w:val="Hyperlink"/>
          </w:rPr>
          <w:t>skroger</w:t>
        </w:r>
        <w:r w:rsidR="005C1740" w:rsidRPr="003B249D">
          <w:rPr>
            <w:rStyle w:val="Hyperlink"/>
            <w:rFonts w:eastAsiaTheme="majorEastAsia"/>
          </w:rPr>
          <w:t>@huntenergy.com</w:t>
        </w:r>
      </w:hyperlink>
    </w:p>
    <w:p w14:paraId="35C25584" w14:textId="77777777" w:rsidR="005C1740" w:rsidRPr="00253601" w:rsidRDefault="005C1740" w:rsidP="00BB5487">
      <w:pPr>
        <w:pStyle w:val="paragraph"/>
        <w:spacing w:before="0" w:beforeAutospacing="0" w:after="0" w:afterAutospacing="0"/>
        <w:textAlignment w:val="baseline"/>
      </w:pPr>
    </w:p>
    <w:p w14:paraId="2C9DE818" w14:textId="74DBADC3" w:rsidR="009129A6" w:rsidRDefault="009129A6">
      <w:pPr>
        <w:rPr>
          <w:rFonts w:ascii="Times New Roman" w:eastAsia="Times New Roman" w:hAnsi="Times New Roman" w:cs="Times New Roman"/>
          <w:kern w:val="0"/>
          <w:sz w:val="24"/>
          <w:szCs w:val="24"/>
          <w14:ligatures w14:val="none"/>
        </w:rPr>
      </w:pPr>
      <w:r>
        <w:br w:type="page"/>
      </w:r>
    </w:p>
    <w:p w14:paraId="5F10837A" w14:textId="77777777" w:rsidR="00845923" w:rsidRPr="00317029" w:rsidRDefault="00845923" w:rsidP="00845923">
      <w:pPr>
        <w:jc w:val="center"/>
        <w:rPr>
          <w:rFonts w:ascii="Times New Roman" w:hAnsi="Times New Roman" w:cs="Times New Roman"/>
          <w:b/>
          <w:bCs/>
        </w:rPr>
      </w:pPr>
      <w:r w:rsidRPr="00317029">
        <w:rPr>
          <w:rFonts w:ascii="Times New Roman" w:hAnsi="Times New Roman" w:cs="Times New Roman"/>
          <w:b/>
          <w:bCs/>
        </w:rPr>
        <w:lastRenderedPageBreak/>
        <w:t>PROJECT NO. 54224</w:t>
      </w:r>
    </w:p>
    <w:p w14:paraId="1CF7875C" w14:textId="2844DAEB" w:rsidR="00845923" w:rsidRPr="00317029" w:rsidRDefault="00845923" w:rsidP="00845923">
      <w:pPr>
        <w:pStyle w:val="paragraph"/>
        <w:spacing w:before="0" w:beforeAutospacing="0" w:after="0" w:afterAutospacing="0"/>
        <w:jc w:val="center"/>
        <w:textAlignment w:val="baseline"/>
        <w:rPr>
          <w:b/>
          <w:bCs/>
          <w:sz w:val="22"/>
          <w:szCs w:val="22"/>
          <w:u w:val="single"/>
        </w:rPr>
      </w:pPr>
      <w:r w:rsidRPr="00317029">
        <w:rPr>
          <w:b/>
          <w:bCs/>
          <w:sz w:val="22"/>
          <w:szCs w:val="22"/>
          <w:u w:val="single"/>
        </w:rPr>
        <w:t xml:space="preserve">HUNT ENERGY NETWORK L.L.C. EXECUTIVE SUMMARY OF </w:t>
      </w:r>
      <w:r w:rsidR="006660D5">
        <w:rPr>
          <w:b/>
          <w:bCs/>
          <w:sz w:val="22"/>
          <w:szCs w:val="22"/>
          <w:u w:val="single"/>
        </w:rPr>
        <w:t xml:space="preserve">REPLY </w:t>
      </w:r>
      <w:r w:rsidRPr="00317029">
        <w:rPr>
          <w:b/>
          <w:bCs/>
          <w:sz w:val="22"/>
          <w:szCs w:val="22"/>
          <w:u w:val="single"/>
        </w:rPr>
        <w:t>COMMENTS</w:t>
      </w:r>
    </w:p>
    <w:p w14:paraId="1BEF5624" w14:textId="77777777" w:rsidR="005A2877" w:rsidRPr="00317029" w:rsidRDefault="005A2877" w:rsidP="00845923">
      <w:pPr>
        <w:pStyle w:val="paragraph"/>
        <w:spacing w:before="0" w:beforeAutospacing="0" w:after="0" w:afterAutospacing="0"/>
        <w:jc w:val="center"/>
        <w:textAlignment w:val="baseline"/>
        <w:rPr>
          <w:b/>
          <w:bCs/>
          <w:sz w:val="22"/>
          <w:szCs w:val="22"/>
          <w:u w:val="single"/>
        </w:rPr>
      </w:pPr>
    </w:p>
    <w:p w14:paraId="30DC1701" w14:textId="77777777" w:rsidR="005A2877" w:rsidRPr="00317029" w:rsidRDefault="005A2877" w:rsidP="00317029">
      <w:pPr>
        <w:jc w:val="both"/>
        <w:rPr>
          <w:rFonts w:ascii="Times New Roman" w:hAnsi="Times New Roman" w:cs="Times New Roman"/>
          <w:b/>
          <w:bCs/>
        </w:rPr>
      </w:pPr>
      <w:r w:rsidRPr="00317029">
        <w:rPr>
          <w:rFonts w:ascii="Times New Roman" w:hAnsi="Times New Roman" w:cs="Times New Roman"/>
          <w:b/>
          <w:bCs/>
        </w:rPr>
        <w:t>Standard Interconnection Allowance</w:t>
      </w:r>
    </w:p>
    <w:p w14:paraId="176841BA" w14:textId="31189FF5" w:rsidR="00E46FAE" w:rsidRPr="00E46FAE" w:rsidRDefault="00E46FAE" w:rsidP="00E46FAE">
      <w:pPr>
        <w:pStyle w:val="ListParagraph"/>
        <w:ind w:left="360" w:hanging="360"/>
        <w:jc w:val="both"/>
        <w:rPr>
          <w:rFonts w:ascii="Times New Roman" w:hAnsi="Times New Roman" w:cs="Times New Roman"/>
        </w:rPr>
      </w:pPr>
      <w:r w:rsidRPr="00E46FAE">
        <w:rPr>
          <w:rFonts w:ascii="Times New Roman" w:hAnsi="Times New Roman" w:cs="Times New Roman"/>
        </w:rPr>
        <w:t>•</w:t>
      </w:r>
      <w:r w:rsidRPr="00E46FAE">
        <w:rPr>
          <w:rFonts w:ascii="Times New Roman" w:hAnsi="Times New Roman" w:cs="Times New Roman"/>
        </w:rPr>
        <w:tab/>
      </w:r>
      <w:r w:rsidR="001B4EA1">
        <w:rPr>
          <w:rFonts w:ascii="Times New Roman" w:hAnsi="Times New Roman" w:cs="Times New Roman"/>
        </w:rPr>
        <w:t>I</w:t>
      </w:r>
      <w:r w:rsidRPr="00E46FAE">
        <w:rPr>
          <w:rFonts w:ascii="Times New Roman" w:hAnsi="Times New Roman" w:cs="Times New Roman"/>
        </w:rPr>
        <w:t xml:space="preserve">t is reasonable to consider the type and purpose of the DER when deciding whether an allowance is appropriate and the costs should be recovered through TCOS because an ERCOT-registered Resource participating in the wholesale market is different from a small co-located DER that is providing services to on-site load.  </w:t>
      </w:r>
    </w:p>
    <w:p w14:paraId="15AE494D" w14:textId="77777777" w:rsidR="00E46FAE" w:rsidRPr="00E46FAE" w:rsidRDefault="00E46FAE" w:rsidP="00E46FAE">
      <w:pPr>
        <w:pStyle w:val="ListParagraph"/>
        <w:jc w:val="both"/>
        <w:rPr>
          <w:rFonts w:ascii="Times New Roman" w:hAnsi="Times New Roman" w:cs="Times New Roman"/>
        </w:rPr>
      </w:pPr>
    </w:p>
    <w:p w14:paraId="5A3EC272" w14:textId="6C00E03C" w:rsidR="00E46FAE" w:rsidRPr="00E46FAE" w:rsidRDefault="00E46FAE" w:rsidP="00E46FAE">
      <w:pPr>
        <w:pStyle w:val="ListParagraph"/>
        <w:ind w:left="360" w:hanging="360"/>
        <w:jc w:val="both"/>
        <w:rPr>
          <w:rFonts w:ascii="Times New Roman" w:hAnsi="Times New Roman" w:cs="Times New Roman"/>
        </w:rPr>
      </w:pPr>
      <w:r w:rsidRPr="00E46FAE">
        <w:rPr>
          <w:rFonts w:ascii="Times New Roman" w:hAnsi="Times New Roman" w:cs="Times New Roman"/>
        </w:rPr>
        <w:t>•</w:t>
      </w:r>
      <w:r w:rsidRPr="00E46FAE">
        <w:rPr>
          <w:rFonts w:ascii="Times New Roman" w:hAnsi="Times New Roman" w:cs="Times New Roman"/>
        </w:rPr>
        <w:tab/>
        <w:t>Distribution Generation Resources (“DGRs”) and Distribution Energy Storage Resources (“DESRs”) are defined, ERCOT-registered Resources that are dispatched by ERCOT through SCED and exist to provide energy and ancillary service to the entire ERCOT market. All ERCOT customers benefit from these Resources because they increase the supply of energy and ancillary services, enhancing competition and driving down energy and ancillary services costs that all retail customers pay.  Multiple parties acknowledged that the standard allowance might be reasonable for this subset of DERs.</w:t>
      </w:r>
    </w:p>
    <w:p w14:paraId="34B68773" w14:textId="77777777" w:rsidR="00E46FAE" w:rsidRPr="00E46FAE" w:rsidRDefault="00E46FAE" w:rsidP="00E46FAE">
      <w:pPr>
        <w:pStyle w:val="ListParagraph"/>
        <w:jc w:val="both"/>
        <w:rPr>
          <w:rFonts w:ascii="Times New Roman" w:hAnsi="Times New Roman" w:cs="Times New Roman"/>
        </w:rPr>
      </w:pPr>
    </w:p>
    <w:p w14:paraId="5977202A" w14:textId="48719F79" w:rsidR="00E46FAE" w:rsidRPr="00E46FAE" w:rsidRDefault="00E46FAE" w:rsidP="004B2F84">
      <w:pPr>
        <w:pStyle w:val="ListParagraph"/>
        <w:numPr>
          <w:ilvl w:val="0"/>
          <w:numId w:val="9"/>
        </w:numPr>
        <w:jc w:val="both"/>
        <w:rPr>
          <w:rFonts w:ascii="Times New Roman" w:hAnsi="Times New Roman" w:cs="Times New Roman"/>
        </w:rPr>
      </w:pPr>
      <w:r w:rsidRPr="00E46FAE">
        <w:rPr>
          <w:rFonts w:ascii="Times New Roman" w:hAnsi="Times New Roman" w:cs="Times New Roman"/>
        </w:rPr>
        <w:t>The $1.5M standard interconnection allowance proposal was aimed at this subset of DERs. This allowance is reasonable for DGRs/DESRs and provides comparable treatment for all ERCOT-registered, SCED-dispatched Resources, regardless of interconnection voltage.</w:t>
      </w:r>
    </w:p>
    <w:p w14:paraId="3B28A384" w14:textId="26857D19" w:rsidR="005A2877" w:rsidRPr="00317029" w:rsidRDefault="00E46FAE" w:rsidP="004B2F84">
      <w:pPr>
        <w:pStyle w:val="ListParagraph"/>
        <w:numPr>
          <w:ilvl w:val="0"/>
          <w:numId w:val="9"/>
        </w:numPr>
        <w:jc w:val="both"/>
        <w:rPr>
          <w:rFonts w:ascii="Times New Roman" w:hAnsi="Times New Roman" w:cs="Times New Roman"/>
          <w:b/>
          <w:bCs/>
        </w:rPr>
      </w:pPr>
      <w:r w:rsidRPr="00E46FAE">
        <w:rPr>
          <w:rFonts w:ascii="Times New Roman" w:hAnsi="Times New Roman" w:cs="Times New Roman"/>
        </w:rPr>
        <w:t>It is reasonable to recover the interconnection costs for DGRs and DESRs through TCOS and the simplest approach to utilizing TCOS as the recovery method would be to functionalize the interconnection allowance for DGRs/DESRs to the Transmission function, as suggested by Oncor in its comments</w:t>
      </w:r>
      <w:r w:rsidRPr="00E46FAE">
        <w:rPr>
          <w:rFonts w:ascii="Times New Roman" w:hAnsi="Times New Roman" w:cs="Times New Roman"/>
          <w:b/>
          <w:bCs/>
        </w:rPr>
        <w:t>.</w:t>
      </w:r>
    </w:p>
    <w:p w14:paraId="2115CBFB" w14:textId="77777777" w:rsidR="005A2877" w:rsidRPr="001B4EA1" w:rsidRDefault="005A2877" w:rsidP="00317029">
      <w:pPr>
        <w:jc w:val="both"/>
        <w:rPr>
          <w:rFonts w:ascii="Times New Roman" w:hAnsi="Times New Roman" w:cs="Times New Roman"/>
          <w:b/>
          <w:bCs/>
        </w:rPr>
      </w:pPr>
      <w:r w:rsidRPr="001B4EA1">
        <w:rPr>
          <w:rFonts w:ascii="Times New Roman" w:hAnsi="Times New Roman" w:cs="Times New Roman"/>
          <w:b/>
          <w:bCs/>
        </w:rPr>
        <w:t xml:space="preserve">Monthly Wholesale Distribution Delivery Charges </w:t>
      </w:r>
    </w:p>
    <w:p w14:paraId="66F06889" w14:textId="3E5CB97E" w:rsidR="001B4EA1" w:rsidRPr="001B4EA1" w:rsidRDefault="001B4EA1" w:rsidP="0082236A">
      <w:pPr>
        <w:pStyle w:val="ListParagraph"/>
        <w:numPr>
          <w:ilvl w:val="0"/>
          <w:numId w:val="7"/>
        </w:numPr>
        <w:ind w:left="360"/>
        <w:jc w:val="both"/>
        <w:rPr>
          <w:rFonts w:ascii="Times New Roman" w:hAnsi="Times New Roman" w:cs="Times New Roman"/>
        </w:rPr>
      </w:pPr>
      <w:r w:rsidRPr="001B4EA1">
        <w:rPr>
          <w:rFonts w:ascii="Times New Roman" w:hAnsi="Times New Roman" w:cs="Times New Roman"/>
        </w:rPr>
        <w:t xml:space="preserve">HEN does not support the approval of wholesale distribution service tariffs applicable only to DESRs. However, if the Commission does decide that a tariff should be imposed on DESRs, then there are important policy issues to decide regarding the structure and design of such a tariff.  </w:t>
      </w:r>
    </w:p>
    <w:p w14:paraId="2FE74376" w14:textId="1F3A161C" w:rsidR="001B4EA1" w:rsidRPr="001B4EA1" w:rsidRDefault="001B4EA1" w:rsidP="00336192">
      <w:pPr>
        <w:ind w:left="360" w:hanging="360"/>
        <w:jc w:val="both"/>
        <w:rPr>
          <w:rFonts w:ascii="Times New Roman" w:hAnsi="Times New Roman" w:cs="Times New Roman"/>
        </w:rPr>
      </w:pPr>
      <w:r w:rsidRPr="001B4EA1">
        <w:rPr>
          <w:rFonts w:ascii="Times New Roman" w:hAnsi="Times New Roman" w:cs="Times New Roman"/>
        </w:rPr>
        <w:t>•</w:t>
      </w:r>
      <w:r w:rsidRPr="001B4EA1">
        <w:rPr>
          <w:rFonts w:ascii="Times New Roman" w:hAnsi="Times New Roman" w:cs="Times New Roman"/>
        </w:rPr>
        <w:tab/>
        <w:t>Tariff rate design concepts that make sense for retail customers consuming electricity do not apply to DESRs that are</w:t>
      </w:r>
      <w:r w:rsidR="008C0481">
        <w:rPr>
          <w:rFonts w:ascii="Times New Roman" w:hAnsi="Times New Roman" w:cs="Times New Roman"/>
        </w:rPr>
        <w:t xml:space="preserve"> only </w:t>
      </w:r>
      <w:r w:rsidRPr="001B4EA1">
        <w:rPr>
          <w:rFonts w:ascii="Times New Roman" w:hAnsi="Times New Roman" w:cs="Times New Roman"/>
        </w:rPr>
        <w:t>storing electricity, dispatched by ERCOT, and required to comply with all ERCOT Protocols</w:t>
      </w:r>
      <w:r w:rsidR="0060016F">
        <w:rPr>
          <w:rFonts w:ascii="Times New Roman" w:hAnsi="Times New Roman" w:cs="Times New Roman"/>
        </w:rPr>
        <w:t>.</w:t>
      </w:r>
    </w:p>
    <w:p w14:paraId="512B355E" w14:textId="77777777" w:rsidR="0028199F" w:rsidRDefault="001B4EA1" w:rsidP="00334CCD">
      <w:pPr>
        <w:pStyle w:val="ListParagraph"/>
        <w:numPr>
          <w:ilvl w:val="0"/>
          <w:numId w:val="7"/>
        </w:numPr>
        <w:spacing w:after="0"/>
        <w:ind w:left="360"/>
        <w:jc w:val="both"/>
        <w:rPr>
          <w:rFonts w:ascii="Times New Roman" w:hAnsi="Times New Roman" w:cs="Times New Roman"/>
        </w:rPr>
      </w:pPr>
      <w:r w:rsidRPr="001B4EA1">
        <w:rPr>
          <w:rFonts w:ascii="Times New Roman" w:hAnsi="Times New Roman" w:cs="Times New Roman"/>
        </w:rPr>
        <w:t>The tariff should be designed to recover only that portion of the distribution system used by the DESR.  Most DESRs locate adjacent to the DSP substation, utilizing only the DSP’s substation when charging the battery.  Yet many DSP tariffs recover the costs associated with the entire primary distribution system</w:t>
      </w:r>
      <w:r w:rsidR="0028199F">
        <w:rPr>
          <w:rFonts w:ascii="Times New Roman" w:hAnsi="Times New Roman" w:cs="Times New Roman"/>
        </w:rPr>
        <w:t>.</w:t>
      </w:r>
    </w:p>
    <w:p w14:paraId="336B54FD" w14:textId="77777777" w:rsidR="00340664" w:rsidRPr="00334CCD" w:rsidRDefault="00340664" w:rsidP="00334CCD">
      <w:pPr>
        <w:spacing w:after="0"/>
        <w:ind w:left="360"/>
        <w:jc w:val="both"/>
        <w:rPr>
          <w:rFonts w:ascii="Times New Roman" w:hAnsi="Times New Roman" w:cs="Times New Roman"/>
        </w:rPr>
      </w:pPr>
    </w:p>
    <w:p w14:paraId="505518A3" w14:textId="778760C5" w:rsidR="001B4EA1" w:rsidRPr="006E2B53" w:rsidRDefault="00340664" w:rsidP="006E2B53">
      <w:pPr>
        <w:pStyle w:val="ListParagraph"/>
        <w:numPr>
          <w:ilvl w:val="0"/>
          <w:numId w:val="7"/>
        </w:numPr>
        <w:spacing w:after="0"/>
        <w:ind w:left="360"/>
        <w:jc w:val="both"/>
        <w:rPr>
          <w:rFonts w:ascii="Times New Roman" w:hAnsi="Times New Roman" w:cs="Times New Roman"/>
        </w:rPr>
      </w:pPr>
      <w:r>
        <w:rPr>
          <w:rFonts w:ascii="Times New Roman" w:hAnsi="Times New Roman" w:cs="Times New Roman"/>
        </w:rPr>
        <w:t>W</w:t>
      </w:r>
      <w:r w:rsidR="001B4EA1" w:rsidRPr="006E2B53">
        <w:rPr>
          <w:rFonts w:ascii="Times New Roman" w:hAnsi="Times New Roman" w:cs="Times New Roman"/>
        </w:rPr>
        <w:t xml:space="preserve">hen to charge a DESR is determined by the wholesale energy market and ERCOT’s dispatch instructions. Thus, demand ratchets should not apply to the wholesale tariff charges.   The demand ratchet serves as an external limiting condition on the operation of the battery, which reduces the effectiveness and responsiveness of the Resource to ERCOT.  </w:t>
      </w:r>
    </w:p>
    <w:p w14:paraId="3B052792" w14:textId="77777777" w:rsidR="001B4EA1" w:rsidRPr="001B4EA1" w:rsidRDefault="001B4EA1" w:rsidP="001B4EA1">
      <w:pPr>
        <w:pStyle w:val="ListParagraph"/>
        <w:rPr>
          <w:rFonts w:ascii="Times New Roman" w:hAnsi="Times New Roman" w:cs="Times New Roman"/>
        </w:rPr>
      </w:pPr>
    </w:p>
    <w:p w14:paraId="25C0AE00" w14:textId="10713A5D" w:rsidR="001B4EA1" w:rsidRPr="00334CCD" w:rsidRDefault="00340664" w:rsidP="00317029">
      <w:pPr>
        <w:pStyle w:val="ListParagraph"/>
        <w:numPr>
          <w:ilvl w:val="0"/>
          <w:numId w:val="7"/>
        </w:numPr>
        <w:ind w:left="360"/>
        <w:jc w:val="both"/>
        <w:rPr>
          <w:rFonts w:ascii="Times New Roman" w:hAnsi="Times New Roman" w:cs="Times New Roman"/>
          <w:b/>
          <w:bCs/>
        </w:rPr>
      </w:pPr>
      <w:r w:rsidRPr="00334CCD">
        <w:rPr>
          <w:rFonts w:ascii="Times New Roman" w:hAnsi="Times New Roman" w:cs="Times New Roman"/>
        </w:rPr>
        <w:t>A</w:t>
      </w:r>
      <w:r w:rsidR="001B4EA1" w:rsidRPr="00334CCD">
        <w:rPr>
          <w:rFonts w:ascii="Times New Roman" w:hAnsi="Times New Roman" w:cs="Times New Roman"/>
        </w:rPr>
        <w:t>ll DESRs are treated equitably with respect to the implementation of the allowance.  The appropriate interconnection and cost recovery policy for DESRs has been pending at the Commission for multiple years.  During this time, HEN and other early DESR movers have paid substantial CIAC charges to the DSPs for interconnection costs.  Now HEN is also paying substantial monthly wholesale delivery charges. If monthly tariff charges remain</w:t>
      </w:r>
      <w:r w:rsidR="00334CCD" w:rsidRPr="00334CCD">
        <w:rPr>
          <w:rFonts w:ascii="Times New Roman" w:hAnsi="Times New Roman" w:cs="Times New Roman"/>
        </w:rPr>
        <w:t>,</w:t>
      </w:r>
      <w:r w:rsidR="001B4EA1" w:rsidRPr="00334CCD">
        <w:rPr>
          <w:rFonts w:ascii="Times New Roman" w:hAnsi="Times New Roman" w:cs="Times New Roman"/>
        </w:rPr>
        <w:t xml:space="preserve"> then th</w:t>
      </w:r>
      <w:r w:rsidR="00334CCD" w:rsidRPr="00334CCD">
        <w:rPr>
          <w:rFonts w:ascii="Times New Roman" w:hAnsi="Times New Roman" w:cs="Times New Roman"/>
        </w:rPr>
        <w:t>e</w:t>
      </w:r>
      <w:r w:rsidR="001B4EA1" w:rsidRPr="00334CCD">
        <w:rPr>
          <w:rFonts w:ascii="Times New Roman" w:hAnsi="Times New Roman" w:cs="Times New Roman"/>
        </w:rPr>
        <w:t xml:space="preserve"> allowance should be reflected as a credit on the DSP’s monthly bill for DESRs that paid the full CIAC and are now also paying monthly tariffed rates.  To do otherwise would penalize those early developers that have been patiently awaiting Commission policy resolution of these cost recovery issues.</w:t>
      </w:r>
    </w:p>
    <w:sectPr w:rsidR="001B4EA1" w:rsidRPr="00334CCD" w:rsidSect="00317029">
      <w:headerReference w:type="default" r:id="rId13"/>
      <w:footerReference w:type="default" r:id="rId14"/>
      <w:pgSz w:w="12240" w:h="15840"/>
      <w:pgMar w:top="1440" w:right="990" w:bottom="1440" w:left="99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AE6C5" w14:textId="77777777" w:rsidR="00401081" w:rsidRDefault="00401081" w:rsidP="00397D4A">
      <w:pPr>
        <w:spacing w:after="0" w:line="240" w:lineRule="auto"/>
      </w:pPr>
      <w:r>
        <w:separator/>
      </w:r>
    </w:p>
  </w:endnote>
  <w:endnote w:type="continuationSeparator" w:id="0">
    <w:p w14:paraId="22703B06" w14:textId="77777777" w:rsidR="00401081" w:rsidRDefault="00401081" w:rsidP="00397D4A">
      <w:pPr>
        <w:spacing w:after="0" w:line="240" w:lineRule="auto"/>
      </w:pPr>
      <w:r>
        <w:continuationSeparator/>
      </w:r>
    </w:p>
  </w:endnote>
  <w:endnote w:type="continuationNotice" w:id="1">
    <w:p w14:paraId="61374725" w14:textId="77777777" w:rsidR="00401081" w:rsidRDefault="00401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4715850"/>
      <w:docPartObj>
        <w:docPartGallery w:val="Page Numbers (Bottom of Page)"/>
        <w:docPartUnique/>
      </w:docPartObj>
    </w:sdtPr>
    <w:sdtEndPr>
      <w:rPr>
        <w:rFonts w:ascii="Times New Roman" w:hAnsi="Times New Roman" w:cs="Times New Roman"/>
        <w:noProof/>
      </w:rPr>
    </w:sdtEndPr>
    <w:sdtContent>
      <w:p w14:paraId="4B702982" w14:textId="0DE3D0DE" w:rsidR="00603C67" w:rsidRPr="00603C67" w:rsidRDefault="00603C67">
        <w:pPr>
          <w:pStyle w:val="Footer"/>
          <w:jc w:val="center"/>
          <w:rPr>
            <w:rFonts w:ascii="Times New Roman" w:hAnsi="Times New Roman" w:cs="Times New Roman"/>
          </w:rPr>
        </w:pPr>
        <w:r w:rsidRPr="00603C67">
          <w:rPr>
            <w:rFonts w:ascii="Times New Roman" w:hAnsi="Times New Roman" w:cs="Times New Roman"/>
          </w:rPr>
          <w:fldChar w:fldCharType="begin"/>
        </w:r>
        <w:r w:rsidRPr="00603C67">
          <w:rPr>
            <w:rFonts w:ascii="Times New Roman" w:hAnsi="Times New Roman" w:cs="Times New Roman"/>
          </w:rPr>
          <w:instrText xml:space="preserve"> PAGE   \* MERGEFORMAT </w:instrText>
        </w:r>
        <w:r w:rsidRPr="00603C67">
          <w:rPr>
            <w:rFonts w:ascii="Times New Roman" w:hAnsi="Times New Roman" w:cs="Times New Roman"/>
          </w:rPr>
          <w:fldChar w:fldCharType="separate"/>
        </w:r>
        <w:r w:rsidRPr="00603C67">
          <w:rPr>
            <w:rFonts w:ascii="Times New Roman" w:hAnsi="Times New Roman" w:cs="Times New Roman"/>
            <w:noProof/>
          </w:rPr>
          <w:t>2</w:t>
        </w:r>
        <w:r w:rsidRPr="00603C67">
          <w:rPr>
            <w:rFonts w:ascii="Times New Roman" w:hAnsi="Times New Roman" w:cs="Times New Roman"/>
            <w:noProof/>
          </w:rPr>
          <w:fldChar w:fldCharType="end"/>
        </w:r>
      </w:p>
    </w:sdtContent>
  </w:sdt>
  <w:p w14:paraId="12AE35B0" w14:textId="77777777" w:rsidR="00603C67" w:rsidRDefault="00603C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99C65" w14:textId="77777777" w:rsidR="00401081" w:rsidRDefault="00401081" w:rsidP="00397D4A">
      <w:pPr>
        <w:spacing w:after="0" w:line="240" w:lineRule="auto"/>
      </w:pPr>
      <w:r>
        <w:separator/>
      </w:r>
    </w:p>
  </w:footnote>
  <w:footnote w:type="continuationSeparator" w:id="0">
    <w:p w14:paraId="5839C5F1" w14:textId="77777777" w:rsidR="00401081" w:rsidRDefault="00401081" w:rsidP="00397D4A">
      <w:pPr>
        <w:spacing w:after="0" w:line="240" w:lineRule="auto"/>
      </w:pPr>
      <w:r>
        <w:continuationSeparator/>
      </w:r>
    </w:p>
  </w:footnote>
  <w:footnote w:type="continuationNotice" w:id="1">
    <w:p w14:paraId="276D753A" w14:textId="77777777" w:rsidR="00401081" w:rsidRDefault="00401081">
      <w:pPr>
        <w:spacing w:after="0" w:line="240" w:lineRule="auto"/>
      </w:pPr>
    </w:p>
  </w:footnote>
  <w:footnote w:id="2">
    <w:p w14:paraId="56FCBAAD" w14:textId="03825AC7" w:rsidR="00E05958" w:rsidRPr="00093125" w:rsidRDefault="00E05958" w:rsidP="00093125">
      <w:pPr>
        <w:pStyle w:val="FootnoteText"/>
        <w:ind w:firstLine="720"/>
        <w:rPr>
          <w:rFonts w:ascii="Times New Roman" w:hAnsi="Times New Roman" w:cs="Times New Roman"/>
        </w:rPr>
      </w:pPr>
      <w:r w:rsidRPr="00093125">
        <w:rPr>
          <w:rStyle w:val="FootnoteReference"/>
          <w:rFonts w:ascii="Times New Roman" w:hAnsi="Times New Roman" w:cs="Times New Roman"/>
        </w:rPr>
        <w:footnoteRef/>
      </w:r>
      <w:r w:rsidRPr="00093125">
        <w:rPr>
          <w:rFonts w:ascii="Times New Roman" w:hAnsi="Times New Roman" w:cs="Times New Roman"/>
        </w:rPr>
        <w:t xml:space="preserve"> </w:t>
      </w:r>
      <w:r w:rsidR="00093125" w:rsidRPr="00093125">
        <w:rPr>
          <w:rFonts w:ascii="Times New Roman" w:hAnsi="Times New Roman" w:cs="Times New Roman"/>
        </w:rPr>
        <w:t>Grid Resilience in Texas Comments at 3.</w:t>
      </w:r>
    </w:p>
  </w:footnote>
  <w:footnote w:id="3">
    <w:p w14:paraId="642ED601" w14:textId="35FCA53F" w:rsidR="00515A3C" w:rsidRPr="00515A3C" w:rsidRDefault="00515A3C" w:rsidP="00515A3C">
      <w:pPr>
        <w:pStyle w:val="FootnoteText"/>
        <w:ind w:firstLine="720"/>
        <w:rPr>
          <w:rFonts w:ascii="Times New Roman" w:hAnsi="Times New Roman" w:cs="Times New Roman"/>
        </w:rPr>
      </w:pPr>
      <w:r w:rsidRPr="00515A3C">
        <w:rPr>
          <w:rStyle w:val="FootnoteReference"/>
          <w:rFonts w:ascii="Times New Roman" w:hAnsi="Times New Roman" w:cs="Times New Roman"/>
        </w:rPr>
        <w:footnoteRef/>
      </w:r>
      <w:r w:rsidR="005B1B07">
        <w:rPr>
          <w:rFonts w:ascii="Times New Roman" w:hAnsi="Times New Roman" w:cs="Times New Roman"/>
        </w:rPr>
        <w:t xml:space="preserve"> </w:t>
      </w:r>
      <w:r w:rsidRPr="00515A3C">
        <w:rPr>
          <w:rFonts w:ascii="Times New Roman" w:hAnsi="Times New Roman" w:cs="Times New Roman"/>
        </w:rPr>
        <w:t xml:space="preserve">See also PURA §31.002(20). </w:t>
      </w:r>
    </w:p>
  </w:footnote>
  <w:footnote w:id="4">
    <w:p w14:paraId="34F81B29" w14:textId="2C51F430" w:rsidR="00356FD5" w:rsidRPr="00B958E8" w:rsidRDefault="00356FD5" w:rsidP="00356FD5">
      <w:pPr>
        <w:pStyle w:val="FootnoteText"/>
        <w:ind w:firstLine="720"/>
        <w:rPr>
          <w:rFonts w:ascii="Times New Roman" w:hAnsi="Times New Roman" w:cs="Times New Roman"/>
        </w:rPr>
      </w:pPr>
      <w:r w:rsidRPr="00B958E8">
        <w:rPr>
          <w:rStyle w:val="FootnoteReference"/>
          <w:rFonts w:ascii="Times New Roman" w:hAnsi="Times New Roman" w:cs="Times New Roman"/>
        </w:rPr>
        <w:footnoteRef/>
      </w:r>
      <w:r w:rsidRPr="00B958E8">
        <w:rPr>
          <w:rFonts w:ascii="Times New Roman" w:hAnsi="Times New Roman" w:cs="Times New Roman"/>
        </w:rPr>
        <w:t>PURA §35.001</w:t>
      </w:r>
      <w:r w:rsidR="00E13495" w:rsidRPr="00B958E8">
        <w:rPr>
          <w:rFonts w:ascii="Times New Roman" w:hAnsi="Times New Roman" w:cs="Times New Roman"/>
        </w:rPr>
        <w:t xml:space="preserve"> provides that “utility” for purposes of </w:t>
      </w:r>
      <w:r w:rsidR="00B958E8" w:rsidRPr="00B958E8">
        <w:rPr>
          <w:rFonts w:ascii="Times New Roman" w:hAnsi="Times New Roman" w:cs="Times New Roman"/>
        </w:rPr>
        <w:t>the wholesale transmission access provisions includes an electric cooperative and a municipally-owned utility.</w:t>
      </w:r>
      <w:r w:rsidRPr="00B958E8">
        <w:rPr>
          <w:rFonts w:ascii="Times New Roman" w:hAnsi="Times New Roman" w:cs="Times New Roman"/>
        </w:rPr>
        <w:t xml:space="preserve"> </w:t>
      </w:r>
    </w:p>
  </w:footnote>
  <w:footnote w:id="5">
    <w:p w14:paraId="2A794068" w14:textId="7E5CE535" w:rsidR="007C51E5" w:rsidRPr="00D72060" w:rsidRDefault="007C51E5" w:rsidP="009C7A31">
      <w:pPr>
        <w:pStyle w:val="FootnoteText"/>
        <w:ind w:firstLine="720"/>
        <w:rPr>
          <w:rFonts w:ascii="Times New Roman" w:hAnsi="Times New Roman" w:cs="Times New Roman"/>
        </w:rPr>
      </w:pPr>
      <w:r w:rsidRPr="00D72060">
        <w:rPr>
          <w:rStyle w:val="FootnoteReference"/>
          <w:rFonts w:ascii="Times New Roman" w:hAnsi="Times New Roman" w:cs="Times New Roman"/>
        </w:rPr>
        <w:footnoteRef/>
      </w:r>
      <w:r w:rsidRPr="00D72060">
        <w:rPr>
          <w:rFonts w:ascii="Times New Roman" w:hAnsi="Times New Roman" w:cs="Times New Roman"/>
        </w:rPr>
        <w:t xml:space="preserve"> </w:t>
      </w:r>
      <w:r w:rsidR="009C7A31" w:rsidRPr="00D72060">
        <w:rPr>
          <w:rFonts w:ascii="Times New Roman" w:hAnsi="Times New Roman" w:cs="Times New Roman"/>
        </w:rPr>
        <w:t>See e.g.</w:t>
      </w:r>
      <w:r w:rsidR="00BC200F" w:rsidRPr="00D72060">
        <w:rPr>
          <w:rFonts w:ascii="Times New Roman" w:hAnsi="Times New Roman" w:cs="Times New Roman"/>
        </w:rPr>
        <w:t xml:space="preserve"> </w:t>
      </w:r>
      <w:r w:rsidR="00891DED" w:rsidRPr="00D72060">
        <w:rPr>
          <w:rFonts w:ascii="Times New Roman" w:hAnsi="Times New Roman" w:cs="Times New Roman"/>
        </w:rPr>
        <w:t>Docket No. 56581, Application of Bluebonnet Electric Cooperative</w:t>
      </w:r>
      <w:r w:rsidR="00B352AD" w:rsidRPr="00D72060">
        <w:rPr>
          <w:rFonts w:ascii="Times New Roman" w:hAnsi="Times New Roman" w:cs="Times New Roman"/>
        </w:rPr>
        <w:t xml:space="preserve">, Inc. for </w:t>
      </w:r>
      <w:r w:rsidR="00BE5EF6" w:rsidRPr="00D72060">
        <w:rPr>
          <w:rFonts w:ascii="Times New Roman" w:hAnsi="Times New Roman" w:cs="Times New Roman"/>
        </w:rPr>
        <w:t>A</w:t>
      </w:r>
      <w:r w:rsidR="00B352AD" w:rsidRPr="00D72060">
        <w:rPr>
          <w:rFonts w:ascii="Times New Roman" w:hAnsi="Times New Roman" w:cs="Times New Roman"/>
        </w:rPr>
        <w:t xml:space="preserve">pproval of a </w:t>
      </w:r>
      <w:proofErr w:type="gramStart"/>
      <w:r w:rsidR="00BE5EF6" w:rsidRPr="00D72060">
        <w:rPr>
          <w:rFonts w:ascii="Times New Roman" w:hAnsi="Times New Roman" w:cs="Times New Roman"/>
        </w:rPr>
        <w:t>W</w:t>
      </w:r>
      <w:r w:rsidR="00B352AD" w:rsidRPr="00D72060">
        <w:rPr>
          <w:rFonts w:ascii="Times New Roman" w:hAnsi="Times New Roman" w:cs="Times New Roman"/>
        </w:rPr>
        <w:t xml:space="preserve">holesale  </w:t>
      </w:r>
      <w:r w:rsidR="00BE5EF6" w:rsidRPr="00D72060">
        <w:rPr>
          <w:rFonts w:ascii="Times New Roman" w:hAnsi="Times New Roman" w:cs="Times New Roman"/>
        </w:rPr>
        <w:t>T</w:t>
      </w:r>
      <w:r w:rsidR="00B352AD" w:rsidRPr="00D72060">
        <w:rPr>
          <w:rFonts w:ascii="Times New Roman" w:hAnsi="Times New Roman" w:cs="Times New Roman"/>
        </w:rPr>
        <w:t>r</w:t>
      </w:r>
      <w:r w:rsidR="00BE5EF6" w:rsidRPr="00D72060">
        <w:rPr>
          <w:rFonts w:ascii="Times New Roman" w:hAnsi="Times New Roman" w:cs="Times New Roman"/>
        </w:rPr>
        <w:t>a</w:t>
      </w:r>
      <w:r w:rsidR="00B352AD" w:rsidRPr="00D72060">
        <w:rPr>
          <w:rFonts w:ascii="Times New Roman" w:hAnsi="Times New Roman" w:cs="Times New Roman"/>
        </w:rPr>
        <w:t>n</w:t>
      </w:r>
      <w:r w:rsidR="00BE5EF6" w:rsidRPr="00D72060">
        <w:rPr>
          <w:rFonts w:ascii="Times New Roman" w:hAnsi="Times New Roman" w:cs="Times New Roman"/>
        </w:rPr>
        <w:t>s</w:t>
      </w:r>
      <w:r w:rsidR="00B352AD" w:rsidRPr="00D72060">
        <w:rPr>
          <w:rFonts w:ascii="Times New Roman" w:hAnsi="Times New Roman" w:cs="Times New Roman"/>
        </w:rPr>
        <w:t>mission</w:t>
      </w:r>
      <w:proofErr w:type="gramEnd"/>
      <w:r w:rsidR="00B352AD" w:rsidRPr="00D72060">
        <w:rPr>
          <w:rFonts w:ascii="Times New Roman" w:hAnsi="Times New Roman" w:cs="Times New Roman"/>
        </w:rPr>
        <w:t xml:space="preserve"> </w:t>
      </w:r>
      <w:r w:rsidR="00BE5EF6" w:rsidRPr="00D72060">
        <w:rPr>
          <w:rFonts w:ascii="Times New Roman" w:hAnsi="Times New Roman" w:cs="Times New Roman"/>
        </w:rPr>
        <w:t>S</w:t>
      </w:r>
      <w:r w:rsidR="00B352AD" w:rsidRPr="00D72060">
        <w:rPr>
          <w:rFonts w:ascii="Times New Roman" w:hAnsi="Times New Roman" w:cs="Times New Roman"/>
        </w:rPr>
        <w:t xml:space="preserve">ervice at </w:t>
      </w:r>
      <w:r w:rsidR="00BE5EF6" w:rsidRPr="00D72060">
        <w:rPr>
          <w:rFonts w:ascii="Times New Roman" w:hAnsi="Times New Roman" w:cs="Times New Roman"/>
        </w:rPr>
        <w:t>D</w:t>
      </w:r>
      <w:r w:rsidR="00B352AD" w:rsidRPr="00D72060">
        <w:rPr>
          <w:rFonts w:ascii="Times New Roman" w:hAnsi="Times New Roman" w:cs="Times New Roman"/>
        </w:rPr>
        <w:t xml:space="preserve">istribution </w:t>
      </w:r>
      <w:r w:rsidR="00BE5EF6" w:rsidRPr="00D72060">
        <w:rPr>
          <w:rFonts w:ascii="Times New Roman" w:hAnsi="Times New Roman" w:cs="Times New Roman"/>
        </w:rPr>
        <w:t>V</w:t>
      </w:r>
      <w:r w:rsidR="00B352AD" w:rsidRPr="00D72060">
        <w:rPr>
          <w:rFonts w:ascii="Times New Roman" w:hAnsi="Times New Roman" w:cs="Times New Roman"/>
        </w:rPr>
        <w:t xml:space="preserve">oltage </w:t>
      </w:r>
      <w:r w:rsidR="00BE5EF6" w:rsidRPr="00D72060">
        <w:rPr>
          <w:rFonts w:ascii="Times New Roman" w:hAnsi="Times New Roman" w:cs="Times New Roman"/>
        </w:rPr>
        <w:t>T</w:t>
      </w:r>
      <w:r w:rsidR="00B352AD" w:rsidRPr="00D72060">
        <w:rPr>
          <w:rFonts w:ascii="Times New Roman" w:hAnsi="Times New Roman" w:cs="Times New Roman"/>
        </w:rPr>
        <w:t>ariff under 16 TAC §25.191(d</w:t>
      </w:r>
      <w:r w:rsidR="00BE5EF6" w:rsidRPr="00D72060">
        <w:rPr>
          <w:rFonts w:ascii="Times New Roman" w:hAnsi="Times New Roman" w:cs="Times New Roman"/>
        </w:rPr>
        <w:t>)</w:t>
      </w:r>
      <w:r w:rsidR="00B352AD" w:rsidRPr="00D72060">
        <w:rPr>
          <w:rFonts w:ascii="Times New Roman" w:hAnsi="Times New Roman" w:cs="Times New Roman"/>
        </w:rPr>
        <w:t>(2</w:t>
      </w:r>
      <w:r w:rsidR="00BE5EF6" w:rsidRPr="00D72060">
        <w:rPr>
          <w:rFonts w:ascii="Times New Roman" w:hAnsi="Times New Roman" w:cs="Times New Roman"/>
        </w:rPr>
        <w:t>)(C); Docket No.</w:t>
      </w:r>
      <w:r w:rsidR="00D72060">
        <w:rPr>
          <w:rFonts w:ascii="Times New Roman" w:hAnsi="Times New Roman" w:cs="Times New Roman"/>
        </w:rPr>
        <w:t xml:space="preserve"> 51606</w:t>
      </w:r>
      <w:r w:rsidR="00FA0B56" w:rsidRPr="00D72060">
        <w:rPr>
          <w:rFonts w:ascii="Times New Roman" w:hAnsi="Times New Roman" w:cs="Times New Roman"/>
        </w:rPr>
        <w:t xml:space="preserve">, Application of </w:t>
      </w:r>
      <w:r w:rsidR="00D72060" w:rsidRPr="00D72060">
        <w:rPr>
          <w:rFonts w:ascii="Times New Roman" w:hAnsi="Times New Roman" w:cs="Times New Roman"/>
        </w:rPr>
        <w:t>Medina</w:t>
      </w:r>
      <w:r w:rsidR="00FA0B56" w:rsidRPr="00D72060">
        <w:rPr>
          <w:rFonts w:ascii="Times New Roman" w:hAnsi="Times New Roman" w:cs="Times New Roman"/>
        </w:rPr>
        <w:t xml:space="preserve"> Electric Cooperative, Inc. for Approval of a Wholesale  Transmission Service at Distribution Voltage Tariff under 16 TAC §25.191(d)(2)(C)</w:t>
      </w:r>
      <w:r w:rsidR="00D72060" w:rsidRPr="00D72060">
        <w:rPr>
          <w:rFonts w:ascii="Times New Roman" w:hAnsi="Times New Roman" w:cs="Times New Roman"/>
        </w:rPr>
        <w:t>.</w:t>
      </w:r>
    </w:p>
  </w:footnote>
  <w:footnote w:id="6">
    <w:p w14:paraId="7DCC27F8" w14:textId="2FE22F2D" w:rsidR="00152360" w:rsidRPr="00267128" w:rsidRDefault="00152360" w:rsidP="00267128">
      <w:pPr>
        <w:pStyle w:val="FootnoteText"/>
        <w:ind w:firstLine="720"/>
        <w:rPr>
          <w:rFonts w:ascii="Times New Roman" w:hAnsi="Times New Roman" w:cs="Times New Roman"/>
        </w:rPr>
      </w:pPr>
      <w:r w:rsidRPr="00267128">
        <w:rPr>
          <w:rStyle w:val="FootnoteReference"/>
          <w:rFonts w:ascii="Times New Roman" w:hAnsi="Times New Roman" w:cs="Times New Roman"/>
        </w:rPr>
        <w:footnoteRef/>
      </w:r>
      <w:r w:rsidRPr="00267128">
        <w:rPr>
          <w:rFonts w:ascii="Times New Roman" w:hAnsi="Times New Roman" w:cs="Times New Roman"/>
        </w:rPr>
        <w:t xml:space="preserve"> TEC </w:t>
      </w:r>
      <w:r w:rsidR="005B1B07" w:rsidRPr="00267128">
        <w:rPr>
          <w:rFonts w:ascii="Times New Roman" w:hAnsi="Times New Roman" w:cs="Times New Roman"/>
        </w:rPr>
        <w:t xml:space="preserve">Reply </w:t>
      </w:r>
      <w:r w:rsidRPr="00267128">
        <w:rPr>
          <w:rFonts w:ascii="Times New Roman" w:hAnsi="Times New Roman" w:cs="Times New Roman"/>
        </w:rPr>
        <w:t>Comments</w:t>
      </w:r>
      <w:r w:rsidR="005B1B07" w:rsidRPr="00267128">
        <w:rPr>
          <w:rFonts w:ascii="Times New Roman" w:hAnsi="Times New Roman" w:cs="Times New Roman"/>
        </w:rPr>
        <w:t xml:space="preserve"> at 1-2.</w:t>
      </w:r>
      <w:r w:rsidR="005B1B07" w:rsidRPr="00267128" w:rsidDel="005B1B07">
        <w:rPr>
          <w:rFonts w:ascii="Times New Roman" w:hAnsi="Times New Roman" w:cs="Times New Roman"/>
        </w:rPr>
        <w:t xml:space="preserve"> </w:t>
      </w:r>
    </w:p>
  </w:footnote>
  <w:footnote w:id="7">
    <w:p w14:paraId="6D371ECC" w14:textId="3D25B464" w:rsidR="00447E17" w:rsidRPr="00B35806" w:rsidRDefault="00447E17" w:rsidP="00447E17">
      <w:pPr>
        <w:pStyle w:val="FootnoteText"/>
        <w:ind w:firstLine="720"/>
        <w:rPr>
          <w:rFonts w:ascii="Times New Roman" w:hAnsi="Times New Roman" w:cs="Times New Roman"/>
        </w:rPr>
      </w:pPr>
      <w:r w:rsidRPr="00B35806">
        <w:rPr>
          <w:rStyle w:val="FootnoteReference"/>
          <w:rFonts w:ascii="Times New Roman" w:hAnsi="Times New Roman" w:cs="Times New Roman"/>
        </w:rPr>
        <w:footnoteRef/>
      </w:r>
      <w:r w:rsidR="005B1B07">
        <w:rPr>
          <w:rFonts w:ascii="Times New Roman" w:hAnsi="Times New Roman" w:cs="Times New Roman"/>
        </w:rPr>
        <w:t xml:space="preserve"> </w:t>
      </w:r>
      <w:r w:rsidRPr="00B35806">
        <w:rPr>
          <w:rFonts w:ascii="Times New Roman" w:hAnsi="Times New Roman" w:cs="Times New Roman"/>
        </w:rPr>
        <w:t xml:space="preserve">OPUC Comments at </w:t>
      </w:r>
      <w:r w:rsidR="00B35806" w:rsidRPr="00B35806">
        <w:rPr>
          <w:rFonts w:ascii="Times New Roman" w:hAnsi="Times New Roman" w:cs="Times New Roman"/>
        </w:rPr>
        <w:t>4.</w:t>
      </w:r>
      <w:r w:rsidRPr="00B35806">
        <w:rPr>
          <w:rFonts w:ascii="Times New Roman" w:hAnsi="Times New Roman" w:cs="Times New Roman"/>
        </w:rPr>
        <w:t xml:space="preserve"> </w:t>
      </w:r>
    </w:p>
  </w:footnote>
  <w:footnote w:id="8">
    <w:p w14:paraId="433EB0FD" w14:textId="1A9F78A7" w:rsidR="00E06BEB" w:rsidRPr="000D786E" w:rsidRDefault="00E06BEB" w:rsidP="00E06BEB">
      <w:pPr>
        <w:pStyle w:val="FootnoteText"/>
        <w:ind w:firstLine="720"/>
        <w:rPr>
          <w:rFonts w:ascii="Times New Roman" w:hAnsi="Times New Roman" w:cs="Times New Roman"/>
        </w:rPr>
      </w:pPr>
      <w:r w:rsidRPr="000D786E">
        <w:rPr>
          <w:rStyle w:val="FootnoteReference"/>
          <w:rFonts w:ascii="Times New Roman" w:hAnsi="Times New Roman" w:cs="Times New Roman"/>
        </w:rPr>
        <w:footnoteRef/>
      </w:r>
      <w:r w:rsidR="005B1B07">
        <w:rPr>
          <w:rFonts w:ascii="Times New Roman" w:hAnsi="Times New Roman" w:cs="Times New Roman"/>
        </w:rPr>
        <w:t xml:space="preserve"> </w:t>
      </w:r>
      <w:r w:rsidRPr="000D786E">
        <w:rPr>
          <w:rFonts w:ascii="Times New Roman" w:hAnsi="Times New Roman" w:cs="Times New Roman"/>
        </w:rPr>
        <w:t xml:space="preserve">GRIT Comments at </w:t>
      </w:r>
      <w:r w:rsidR="0038209A" w:rsidRPr="000D786E">
        <w:rPr>
          <w:rFonts w:ascii="Times New Roman" w:hAnsi="Times New Roman" w:cs="Times New Roman"/>
        </w:rPr>
        <w:t xml:space="preserve">3; Base Power Comments at </w:t>
      </w:r>
      <w:r w:rsidR="00747F2F" w:rsidRPr="000D786E">
        <w:rPr>
          <w:rFonts w:ascii="Times New Roman" w:hAnsi="Times New Roman" w:cs="Times New Roman"/>
        </w:rPr>
        <w:t>2.</w:t>
      </w:r>
      <w:r w:rsidRPr="000D786E">
        <w:rPr>
          <w:rFonts w:ascii="Times New Roman" w:hAnsi="Times New Roman" w:cs="Times New Roman"/>
        </w:rPr>
        <w:t xml:space="preserve"> </w:t>
      </w:r>
    </w:p>
  </w:footnote>
  <w:footnote w:id="9">
    <w:p w14:paraId="0195FF79" w14:textId="736FA4F4" w:rsidR="0055239E" w:rsidRPr="00662D27" w:rsidRDefault="0055239E" w:rsidP="0055239E">
      <w:pPr>
        <w:pStyle w:val="FootnoteText"/>
        <w:ind w:firstLine="720"/>
        <w:rPr>
          <w:rFonts w:ascii="Times New Roman" w:hAnsi="Times New Roman" w:cs="Times New Roman"/>
        </w:rPr>
      </w:pPr>
      <w:r w:rsidRPr="00662D27">
        <w:rPr>
          <w:rStyle w:val="FootnoteReference"/>
          <w:rFonts w:ascii="Times New Roman" w:hAnsi="Times New Roman" w:cs="Times New Roman"/>
        </w:rPr>
        <w:footnoteRef/>
      </w:r>
      <w:r w:rsidR="005B1B07">
        <w:rPr>
          <w:rFonts w:ascii="Times New Roman" w:hAnsi="Times New Roman" w:cs="Times New Roman"/>
        </w:rPr>
        <w:t xml:space="preserve"> </w:t>
      </w:r>
      <w:r w:rsidRPr="00662D27">
        <w:rPr>
          <w:rFonts w:ascii="Times New Roman" w:hAnsi="Times New Roman" w:cs="Times New Roman"/>
        </w:rPr>
        <w:t xml:space="preserve">CenterPoint Comments at 3. </w:t>
      </w:r>
    </w:p>
  </w:footnote>
  <w:footnote w:id="10">
    <w:p w14:paraId="1806825D" w14:textId="20BD15FE" w:rsidR="00082B20" w:rsidRPr="00082B20" w:rsidRDefault="00082B20" w:rsidP="00082B20">
      <w:pPr>
        <w:pStyle w:val="FootnoteText"/>
        <w:ind w:firstLine="720"/>
        <w:rPr>
          <w:rFonts w:ascii="Times New Roman" w:hAnsi="Times New Roman" w:cs="Times New Roman"/>
        </w:rPr>
      </w:pPr>
      <w:r w:rsidRPr="00082B20">
        <w:rPr>
          <w:rStyle w:val="FootnoteReference"/>
          <w:rFonts w:ascii="Times New Roman" w:hAnsi="Times New Roman" w:cs="Times New Roman"/>
        </w:rPr>
        <w:footnoteRef/>
      </w:r>
      <w:r w:rsidRPr="00082B20">
        <w:rPr>
          <w:rFonts w:ascii="Times New Roman" w:hAnsi="Times New Roman" w:cs="Times New Roman"/>
        </w:rPr>
        <w:t xml:space="preserve"> Oncor Comments at 7 (See footnote 6).</w:t>
      </w:r>
    </w:p>
  </w:footnote>
  <w:footnote w:id="11">
    <w:p w14:paraId="63D02C44" w14:textId="3EF9C83A" w:rsidR="00987D20" w:rsidRPr="00267128" w:rsidRDefault="00987D20" w:rsidP="00267128">
      <w:pPr>
        <w:pStyle w:val="FootnoteText"/>
        <w:ind w:firstLine="720"/>
        <w:rPr>
          <w:rFonts w:ascii="Times New Roman" w:hAnsi="Times New Roman" w:cs="Times New Roman"/>
        </w:rPr>
      </w:pPr>
      <w:r w:rsidRPr="00267128">
        <w:rPr>
          <w:rStyle w:val="FootnoteReference"/>
          <w:rFonts w:ascii="Times New Roman" w:hAnsi="Times New Roman" w:cs="Times New Roman"/>
        </w:rPr>
        <w:footnoteRef/>
      </w:r>
      <w:r w:rsidR="005B1B07">
        <w:rPr>
          <w:rFonts w:ascii="Times New Roman" w:hAnsi="Times New Roman" w:cs="Times New Roman"/>
        </w:rPr>
        <w:t xml:space="preserve"> </w:t>
      </w:r>
      <w:r w:rsidRPr="00267128">
        <w:rPr>
          <w:rFonts w:ascii="Times New Roman" w:hAnsi="Times New Roman" w:cs="Times New Roman"/>
        </w:rPr>
        <w:t xml:space="preserve">GRIT Comments at </w:t>
      </w:r>
      <w:r w:rsidR="00D5682B" w:rsidRPr="00267128">
        <w:rPr>
          <w:rFonts w:ascii="Times New Roman" w:hAnsi="Times New Roman" w:cs="Times New Roman"/>
        </w:rPr>
        <w:t>3.</w:t>
      </w:r>
    </w:p>
  </w:footnote>
  <w:footnote w:id="12">
    <w:p w14:paraId="1DF48832" w14:textId="3EBB633E" w:rsidR="0031525B" w:rsidRPr="00082B20" w:rsidRDefault="0031525B" w:rsidP="0031525B">
      <w:pPr>
        <w:pStyle w:val="FootnoteText"/>
        <w:ind w:firstLine="720"/>
        <w:rPr>
          <w:rFonts w:ascii="Times New Roman" w:hAnsi="Times New Roman" w:cs="Times New Roman"/>
        </w:rPr>
      </w:pPr>
      <w:r w:rsidRPr="00082B20">
        <w:rPr>
          <w:rStyle w:val="FootnoteReference"/>
          <w:rFonts w:ascii="Times New Roman" w:hAnsi="Times New Roman" w:cs="Times New Roman"/>
        </w:rPr>
        <w:footnoteRef/>
      </w:r>
      <w:r w:rsidRPr="00082B20">
        <w:rPr>
          <w:rFonts w:ascii="Times New Roman" w:hAnsi="Times New Roman" w:cs="Times New Roman"/>
        </w:rPr>
        <w:t xml:space="preserve">TIEC Comments at 4. </w:t>
      </w:r>
    </w:p>
  </w:footnote>
  <w:footnote w:id="13">
    <w:p w14:paraId="05FC3F15" w14:textId="2D461E94" w:rsidR="00BE21C0" w:rsidRPr="00587EBF" w:rsidRDefault="00BE21C0" w:rsidP="00BE21C0">
      <w:pPr>
        <w:pStyle w:val="FootnoteText"/>
        <w:ind w:firstLine="720"/>
        <w:rPr>
          <w:rFonts w:ascii="Times New Roman" w:hAnsi="Times New Roman" w:cs="Times New Roman"/>
        </w:rPr>
      </w:pPr>
      <w:r w:rsidRPr="00587EBF">
        <w:rPr>
          <w:rStyle w:val="FootnoteReference"/>
          <w:rFonts w:ascii="Times New Roman" w:hAnsi="Times New Roman" w:cs="Times New Roman"/>
        </w:rPr>
        <w:footnoteRef/>
      </w:r>
      <w:r w:rsidRPr="00587EBF">
        <w:rPr>
          <w:rFonts w:ascii="Times New Roman" w:hAnsi="Times New Roman" w:cs="Times New Roman"/>
        </w:rPr>
        <w:t xml:space="preserve"> Oncor Comments at 8</w:t>
      </w:r>
      <w:r w:rsidR="00587EBF" w:rsidRPr="00587EBF">
        <w:rPr>
          <w:rFonts w:ascii="Times New Roman" w:hAnsi="Times New Roman" w:cs="Times New Roman"/>
        </w:rPr>
        <w:t xml:space="preserve">; CenterPoint Comments at </w:t>
      </w:r>
      <w:r w:rsidR="00603E9B">
        <w:rPr>
          <w:rFonts w:ascii="Times New Roman" w:hAnsi="Times New Roman" w:cs="Times New Roman"/>
        </w:rPr>
        <w:t>3-4.</w:t>
      </w:r>
    </w:p>
  </w:footnote>
  <w:footnote w:id="14">
    <w:p w14:paraId="7FC26260" w14:textId="4200F293" w:rsidR="00587EBF" w:rsidRPr="00587EBF" w:rsidRDefault="00587EBF" w:rsidP="00587EBF">
      <w:pPr>
        <w:pStyle w:val="FootnoteText"/>
        <w:ind w:firstLine="720"/>
        <w:rPr>
          <w:rFonts w:ascii="Times New Roman" w:hAnsi="Times New Roman" w:cs="Times New Roman"/>
        </w:rPr>
      </w:pPr>
      <w:r w:rsidRPr="00587EBF">
        <w:rPr>
          <w:rStyle w:val="FootnoteReference"/>
          <w:rFonts w:ascii="Times New Roman" w:hAnsi="Times New Roman" w:cs="Times New Roman"/>
        </w:rPr>
        <w:footnoteRef/>
      </w:r>
      <w:r w:rsidRPr="00587EBF">
        <w:rPr>
          <w:rFonts w:ascii="Times New Roman" w:hAnsi="Times New Roman" w:cs="Times New Roman"/>
        </w:rPr>
        <w:t xml:space="preserve"> Id.  </w:t>
      </w:r>
    </w:p>
  </w:footnote>
  <w:footnote w:id="15">
    <w:p w14:paraId="3154855D" w14:textId="5154E424" w:rsidR="00421A08" w:rsidRPr="001A36D3" w:rsidRDefault="00421A08" w:rsidP="00421A08">
      <w:pPr>
        <w:pStyle w:val="FootnoteText"/>
        <w:ind w:firstLine="720"/>
      </w:pPr>
      <w:r>
        <w:rPr>
          <w:rStyle w:val="FootnoteReference"/>
        </w:rPr>
        <w:footnoteRef/>
      </w:r>
      <w:r>
        <w:t xml:space="preserve"> </w:t>
      </w:r>
      <w:r w:rsidRPr="001A36D3">
        <w:rPr>
          <w:rFonts w:ascii="Times New Roman" w:hAnsi="Times New Roman" w:cs="Times New Roman"/>
        </w:rPr>
        <w:t xml:space="preserve">16 TAC §25.192 requires the portion of the direct-current interconnections with areas outside of the ERCOT region (DC ties) that are owned by a TSP in the ERCOT region, </w:t>
      </w:r>
      <w:r w:rsidRPr="001A36D3">
        <w:rPr>
          <w:rFonts w:ascii="Times New Roman" w:hAnsi="Times New Roman" w:cs="Times New Roman"/>
          <w:i/>
          <w:iCs/>
        </w:rPr>
        <w:t>including those portions of the DC tie that operate at a voltage lower than 60 kilovolts</w:t>
      </w:r>
      <w:r w:rsidRPr="001A36D3">
        <w:rPr>
          <w:rFonts w:ascii="Times New Roman" w:hAnsi="Times New Roman" w:cs="Times New Roman"/>
        </w:rPr>
        <w:t xml:space="preserve"> to be transmission facilities, to be included in TCOS.  </w:t>
      </w:r>
    </w:p>
  </w:footnote>
  <w:footnote w:id="16">
    <w:p w14:paraId="13FC9598" w14:textId="5B4843E1" w:rsidR="00FC2690" w:rsidRDefault="00FC2690" w:rsidP="00FC2690">
      <w:pPr>
        <w:pStyle w:val="FootnoteText"/>
        <w:ind w:firstLine="720"/>
      </w:pPr>
      <w:r w:rsidRPr="00267128">
        <w:rPr>
          <w:rStyle w:val="FootnoteReference"/>
          <w:rFonts w:ascii="Times New Roman" w:hAnsi="Times New Roman"/>
        </w:rPr>
        <w:footnoteRef/>
      </w:r>
      <w:r w:rsidR="00BA74E7" w:rsidRPr="00267128">
        <w:rPr>
          <w:rFonts w:ascii="Times New Roman" w:hAnsi="Times New Roman" w:cs="Times New Roman"/>
        </w:rPr>
        <w:t>S</w:t>
      </w:r>
      <w:r w:rsidR="0004367E" w:rsidRPr="00267128">
        <w:rPr>
          <w:rFonts w:ascii="Times New Roman" w:hAnsi="Times New Roman" w:cs="Times New Roman"/>
        </w:rPr>
        <w:t xml:space="preserve">ee Open Meeting Discussion on Application of Oncor </w:t>
      </w:r>
      <w:r w:rsidR="000D12CC" w:rsidRPr="00267128">
        <w:rPr>
          <w:rFonts w:ascii="Times New Roman" w:hAnsi="Times New Roman" w:cs="Times New Roman"/>
        </w:rPr>
        <w:t>E</w:t>
      </w:r>
      <w:r w:rsidR="0004367E" w:rsidRPr="00267128">
        <w:rPr>
          <w:rFonts w:ascii="Times New Roman" w:hAnsi="Times New Roman" w:cs="Times New Roman"/>
        </w:rPr>
        <w:t xml:space="preserve">lectric </w:t>
      </w:r>
      <w:r w:rsidR="000D12CC" w:rsidRPr="00267128">
        <w:rPr>
          <w:rFonts w:ascii="Times New Roman" w:hAnsi="Times New Roman" w:cs="Times New Roman"/>
        </w:rPr>
        <w:t>D</w:t>
      </w:r>
      <w:r w:rsidR="0004367E" w:rsidRPr="00267128">
        <w:rPr>
          <w:rFonts w:ascii="Times New Roman" w:hAnsi="Times New Roman" w:cs="Times New Roman"/>
        </w:rPr>
        <w:t>elivery Company LL for A</w:t>
      </w:r>
      <w:r w:rsidR="000D12CC" w:rsidRPr="00267128">
        <w:rPr>
          <w:rFonts w:ascii="Times New Roman" w:hAnsi="Times New Roman" w:cs="Times New Roman"/>
        </w:rPr>
        <w:t>u</w:t>
      </w:r>
      <w:r w:rsidR="0004367E" w:rsidRPr="00267128">
        <w:rPr>
          <w:rFonts w:ascii="Times New Roman" w:hAnsi="Times New Roman" w:cs="Times New Roman"/>
        </w:rPr>
        <w:t>th</w:t>
      </w:r>
      <w:r w:rsidR="000D12CC" w:rsidRPr="00267128">
        <w:rPr>
          <w:rFonts w:ascii="Times New Roman" w:hAnsi="Times New Roman" w:cs="Times New Roman"/>
        </w:rPr>
        <w:t>o</w:t>
      </w:r>
      <w:r w:rsidR="0004367E" w:rsidRPr="00267128">
        <w:rPr>
          <w:rFonts w:ascii="Times New Roman" w:hAnsi="Times New Roman" w:cs="Times New Roman"/>
        </w:rPr>
        <w:t xml:space="preserve">rity </w:t>
      </w:r>
      <w:r w:rsidR="000D12CC" w:rsidRPr="00267128">
        <w:rPr>
          <w:rFonts w:ascii="Times New Roman" w:hAnsi="Times New Roman" w:cs="Times New Roman"/>
        </w:rPr>
        <w:t>t</w:t>
      </w:r>
      <w:r w:rsidR="0004367E" w:rsidRPr="00267128">
        <w:rPr>
          <w:rFonts w:ascii="Times New Roman" w:hAnsi="Times New Roman" w:cs="Times New Roman"/>
        </w:rPr>
        <w:t xml:space="preserve">o Change Rates (Docket No. </w:t>
      </w:r>
      <w:r w:rsidR="000D12CC" w:rsidRPr="00267128">
        <w:rPr>
          <w:rFonts w:ascii="Times New Roman" w:hAnsi="Times New Roman" w:cs="Times New Roman"/>
        </w:rPr>
        <w:t>53601) at 3:16-3:29 (Mar. 9, 2023).</w:t>
      </w:r>
      <w:r w:rsidR="00D223A7">
        <w:t xml:space="preserve"> </w:t>
      </w:r>
      <w:r>
        <w:t xml:space="preserve"> </w:t>
      </w:r>
    </w:p>
  </w:footnote>
  <w:footnote w:id="17">
    <w:p w14:paraId="17A905FA" w14:textId="7E60EF2B" w:rsidR="00280E0D" w:rsidRPr="00267128" w:rsidRDefault="00280E0D" w:rsidP="00267128">
      <w:pPr>
        <w:pStyle w:val="FootnoteText"/>
        <w:ind w:firstLine="720"/>
        <w:rPr>
          <w:rFonts w:ascii="Times New Roman" w:hAnsi="Times New Roman" w:cs="Times New Roman"/>
        </w:rPr>
      </w:pPr>
      <w:r w:rsidRPr="00267128">
        <w:rPr>
          <w:rStyle w:val="FootnoteReference"/>
          <w:rFonts w:ascii="Times New Roman" w:hAnsi="Times New Roman" w:cs="Times New Roman"/>
        </w:rPr>
        <w:footnoteRef/>
      </w:r>
      <w:r w:rsidRPr="00267128">
        <w:rPr>
          <w:rFonts w:ascii="Times New Roman" w:hAnsi="Times New Roman" w:cs="Times New Roman"/>
        </w:rPr>
        <w:t xml:space="preserve"> HEN observes that the interconnection allowance regime effectively addresses the distance sensitivity issue that appear in some of the utility tariffs.  Instead, for policy consistency, any monthly tariff could better be thought of as a substation rental fee, where the Distr</w:t>
      </w:r>
      <w:r w:rsidR="005B1B07">
        <w:rPr>
          <w:rFonts w:ascii="Times New Roman" w:hAnsi="Times New Roman" w:cs="Times New Roman"/>
        </w:rPr>
        <w:t>i</w:t>
      </w:r>
      <w:r w:rsidRPr="00267128">
        <w:rPr>
          <w:rFonts w:ascii="Times New Roman" w:hAnsi="Times New Roman" w:cs="Times New Roman"/>
        </w:rPr>
        <w:t xml:space="preserve">bution connected resource is in fact renting substation services rather than constructing their own as a transmission-connected battery would do.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05E30" w14:textId="77777777" w:rsidR="0055239E" w:rsidRDefault="005523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5B4436"/>
    <w:multiLevelType w:val="hybridMultilevel"/>
    <w:tmpl w:val="B1EC25CA"/>
    <w:lvl w:ilvl="0" w:tplc="7436C39C">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E0D214A"/>
    <w:multiLevelType w:val="hybridMultilevel"/>
    <w:tmpl w:val="B34C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75D17"/>
    <w:multiLevelType w:val="hybridMultilevel"/>
    <w:tmpl w:val="2E666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9316F"/>
    <w:multiLevelType w:val="hybridMultilevel"/>
    <w:tmpl w:val="F8F6C182"/>
    <w:lvl w:ilvl="0" w:tplc="B3FA32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F50670"/>
    <w:multiLevelType w:val="hybridMultilevel"/>
    <w:tmpl w:val="2D44F386"/>
    <w:lvl w:ilvl="0" w:tplc="622EE13C">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F711FDB"/>
    <w:multiLevelType w:val="hybridMultilevel"/>
    <w:tmpl w:val="B71E6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44F14"/>
    <w:multiLevelType w:val="hybridMultilevel"/>
    <w:tmpl w:val="3DEA8818"/>
    <w:lvl w:ilvl="0" w:tplc="3EA496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1F5FBB"/>
    <w:multiLevelType w:val="hybridMultilevel"/>
    <w:tmpl w:val="D6A8872C"/>
    <w:lvl w:ilvl="0" w:tplc="622EE1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3C3896"/>
    <w:multiLevelType w:val="hybridMultilevel"/>
    <w:tmpl w:val="59581084"/>
    <w:lvl w:ilvl="0" w:tplc="4E5A38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25241281">
    <w:abstractNumId w:val="8"/>
  </w:num>
  <w:num w:numId="2" w16cid:durableId="1462531004">
    <w:abstractNumId w:val="5"/>
  </w:num>
  <w:num w:numId="3" w16cid:durableId="959726143">
    <w:abstractNumId w:val="2"/>
  </w:num>
  <w:num w:numId="4" w16cid:durableId="1909996771">
    <w:abstractNumId w:val="1"/>
  </w:num>
  <w:num w:numId="5" w16cid:durableId="1559323366">
    <w:abstractNumId w:val="3"/>
  </w:num>
  <w:num w:numId="6" w16cid:durableId="1243563092">
    <w:abstractNumId w:val="6"/>
  </w:num>
  <w:num w:numId="7" w16cid:durableId="1723938984">
    <w:abstractNumId w:val="7"/>
  </w:num>
  <w:num w:numId="8" w16cid:durableId="1250192052">
    <w:abstractNumId w:val="4"/>
  </w:num>
  <w:num w:numId="9" w16cid:durableId="722482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EAB"/>
    <w:rsid w:val="00003268"/>
    <w:rsid w:val="0000341B"/>
    <w:rsid w:val="00003BDA"/>
    <w:rsid w:val="00010F00"/>
    <w:rsid w:val="000120AD"/>
    <w:rsid w:val="00012F71"/>
    <w:rsid w:val="00013FAB"/>
    <w:rsid w:val="00016E61"/>
    <w:rsid w:val="0002772A"/>
    <w:rsid w:val="000341B8"/>
    <w:rsid w:val="000355C0"/>
    <w:rsid w:val="00035791"/>
    <w:rsid w:val="0003644E"/>
    <w:rsid w:val="00041174"/>
    <w:rsid w:val="0004367E"/>
    <w:rsid w:val="00043B72"/>
    <w:rsid w:val="0004765E"/>
    <w:rsid w:val="00050E12"/>
    <w:rsid w:val="000519DC"/>
    <w:rsid w:val="00051DB4"/>
    <w:rsid w:val="000522B8"/>
    <w:rsid w:val="000567FF"/>
    <w:rsid w:val="00061C74"/>
    <w:rsid w:val="0006207A"/>
    <w:rsid w:val="00062328"/>
    <w:rsid w:val="000671F6"/>
    <w:rsid w:val="000724B7"/>
    <w:rsid w:val="00072C38"/>
    <w:rsid w:val="0007342A"/>
    <w:rsid w:val="00074144"/>
    <w:rsid w:val="00075988"/>
    <w:rsid w:val="000763E4"/>
    <w:rsid w:val="000779EE"/>
    <w:rsid w:val="0008024A"/>
    <w:rsid w:val="00080F7F"/>
    <w:rsid w:val="00082B20"/>
    <w:rsid w:val="00082D0C"/>
    <w:rsid w:val="0008355D"/>
    <w:rsid w:val="000862B9"/>
    <w:rsid w:val="00093125"/>
    <w:rsid w:val="00093299"/>
    <w:rsid w:val="00095A4C"/>
    <w:rsid w:val="000A0699"/>
    <w:rsid w:val="000A6FD0"/>
    <w:rsid w:val="000A6FDA"/>
    <w:rsid w:val="000A719B"/>
    <w:rsid w:val="000A7A9F"/>
    <w:rsid w:val="000B34B3"/>
    <w:rsid w:val="000B4021"/>
    <w:rsid w:val="000B4156"/>
    <w:rsid w:val="000B601B"/>
    <w:rsid w:val="000C36E2"/>
    <w:rsid w:val="000C47EE"/>
    <w:rsid w:val="000C54EA"/>
    <w:rsid w:val="000C5EA5"/>
    <w:rsid w:val="000C6267"/>
    <w:rsid w:val="000D12CC"/>
    <w:rsid w:val="000D4DEF"/>
    <w:rsid w:val="000D4E10"/>
    <w:rsid w:val="000D5C27"/>
    <w:rsid w:val="000D786E"/>
    <w:rsid w:val="000E1514"/>
    <w:rsid w:val="0010314F"/>
    <w:rsid w:val="00105BE1"/>
    <w:rsid w:val="00111284"/>
    <w:rsid w:val="0011150B"/>
    <w:rsid w:val="0011444F"/>
    <w:rsid w:val="00130976"/>
    <w:rsid w:val="00136BBA"/>
    <w:rsid w:val="00137EED"/>
    <w:rsid w:val="00140B1E"/>
    <w:rsid w:val="00140DFC"/>
    <w:rsid w:val="00141F11"/>
    <w:rsid w:val="00144E6A"/>
    <w:rsid w:val="00145638"/>
    <w:rsid w:val="0014740C"/>
    <w:rsid w:val="00151D5C"/>
    <w:rsid w:val="00152360"/>
    <w:rsid w:val="001561B6"/>
    <w:rsid w:val="001608D4"/>
    <w:rsid w:val="00160C31"/>
    <w:rsid w:val="0016572A"/>
    <w:rsid w:val="001657B6"/>
    <w:rsid w:val="00165EF2"/>
    <w:rsid w:val="001712A7"/>
    <w:rsid w:val="00171FE5"/>
    <w:rsid w:val="001728BA"/>
    <w:rsid w:val="001728E3"/>
    <w:rsid w:val="00174A16"/>
    <w:rsid w:val="00182E89"/>
    <w:rsid w:val="00184FE6"/>
    <w:rsid w:val="001855E6"/>
    <w:rsid w:val="0019077A"/>
    <w:rsid w:val="00192A6B"/>
    <w:rsid w:val="001939BF"/>
    <w:rsid w:val="0019690D"/>
    <w:rsid w:val="001A24C0"/>
    <w:rsid w:val="001A36D3"/>
    <w:rsid w:val="001A3F82"/>
    <w:rsid w:val="001A5187"/>
    <w:rsid w:val="001A5EAB"/>
    <w:rsid w:val="001A637C"/>
    <w:rsid w:val="001B155A"/>
    <w:rsid w:val="001B4EA1"/>
    <w:rsid w:val="001B6B6C"/>
    <w:rsid w:val="001C2683"/>
    <w:rsid w:val="001C2FB8"/>
    <w:rsid w:val="001C5E83"/>
    <w:rsid w:val="001C6E75"/>
    <w:rsid w:val="001C6FBF"/>
    <w:rsid w:val="001D0AD4"/>
    <w:rsid w:val="001D5D63"/>
    <w:rsid w:val="001D793F"/>
    <w:rsid w:val="001E22B8"/>
    <w:rsid w:val="001E67B4"/>
    <w:rsid w:val="001E6860"/>
    <w:rsid w:val="001E6B23"/>
    <w:rsid w:val="00202B63"/>
    <w:rsid w:val="00202BFD"/>
    <w:rsid w:val="00205C79"/>
    <w:rsid w:val="0021318C"/>
    <w:rsid w:val="00213A57"/>
    <w:rsid w:val="002164C2"/>
    <w:rsid w:val="002208E0"/>
    <w:rsid w:val="00223860"/>
    <w:rsid w:val="00225203"/>
    <w:rsid w:val="002304DC"/>
    <w:rsid w:val="00230A62"/>
    <w:rsid w:val="00232ECF"/>
    <w:rsid w:val="0023672B"/>
    <w:rsid w:val="0023674D"/>
    <w:rsid w:val="00237A27"/>
    <w:rsid w:val="002432F1"/>
    <w:rsid w:val="00243655"/>
    <w:rsid w:val="002439D9"/>
    <w:rsid w:val="0024505D"/>
    <w:rsid w:val="002454B3"/>
    <w:rsid w:val="00245764"/>
    <w:rsid w:val="00251BF4"/>
    <w:rsid w:val="0025289B"/>
    <w:rsid w:val="002556B8"/>
    <w:rsid w:val="00261EC3"/>
    <w:rsid w:val="002627F7"/>
    <w:rsid w:val="00262C3E"/>
    <w:rsid w:val="0026420F"/>
    <w:rsid w:val="00267128"/>
    <w:rsid w:val="0026750E"/>
    <w:rsid w:val="00267A28"/>
    <w:rsid w:val="002711FE"/>
    <w:rsid w:val="0027634A"/>
    <w:rsid w:val="002772A5"/>
    <w:rsid w:val="00277432"/>
    <w:rsid w:val="00280E0D"/>
    <w:rsid w:val="0028199F"/>
    <w:rsid w:val="00282616"/>
    <w:rsid w:val="00282ABA"/>
    <w:rsid w:val="00282F7A"/>
    <w:rsid w:val="0028327A"/>
    <w:rsid w:val="002841BE"/>
    <w:rsid w:val="00284906"/>
    <w:rsid w:val="00287DF2"/>
    <w:rsid w:val="002906B8"/>
    <w:rsid w:val="0029526E"/>
    <w:rsid w:val="00297849"/>
    <w:rsid w:val="002A1C48"/>
    <w:rsid w:val="002A4B8C"/>
    <w:rsid w:val="002A6B37"/>
    <w:rsid w:val="002A7DBD"/>
    <w:rsid w:val="002B343F"/>
    <w:rsid w:val="002B4518"/>
    <w:rsid w:val="002B4732"/>
    <w:rsid w:val="002B6CB5"/>
    <w:rsid w:val="002B6E8B"/>
    <w:rsid w:val="002C0392"/>
    <w:rsid w:val="002C043C"/>
    <w:rsid w:val="002C1AD8"/>
    <w:rsid w:val="002C29A7"/>
    <w:rsid w:val="002C3235"/>
    <w:rsid w:val="002D1F37"/>
    <w:rsid w:val="002E1341"/>
    <w:rsid w:val="002E37DE"/>
    <w:rsid w:val="002E42CB"/>
    <w:rsid w:val="002E46FA"/>
    <w:rsid w:val="002E5096"/>
    <w:rsid w:val="002E5FB8"/>
    <w:rsid w:val="002E6774"/>
    <w:rsid w:val="002E720A"/>
    <w:rsid w:val="002F4346"/>
    <w:rsid w:val="0030234B"/>
    <w:rsid w:val="00312ECF"/>
    <w:rsid w:val="003138CD"/>
    <w:rsid w:val="0031525B"/>
    <w:rsid w:val="00315953"/>
    <w:rsid w:val="00317029"/>
    <w:rsid w:val="00317421"/>
    <w:rsid w:val="00317D4E"/>
    <w:rsid w:val="003228B3"/>
    <w:rsid w:val="003248BD"/>
    <w:rsid w:val="003248CA"/>
    <w:rsid w:val="0032617F"/>
    <w:rsid w:val="00333F85"/>
    <w:rsid w:val="00334CCD"/>
    <w:rsid w:val="00336192"/>
    <w:rsid w:val="00336423"/>
    <w:rsid w:val="00340200"/>
    <w:rsid w:val="00340664"/>
    <w:rsid w:val="00342FC4"/>
    <w:rsid w:val="00343BB6"/>
    <w:rsid w:val="003464EE"/>
    <w:rsid w:val="00353BF7"/>
    <w:rsid w:val="0035409E"/>
    <w:rsid w:val="00355388"/>
    <w:rsid w:val="00356FD5"/>
    <w:rsid w:val="00361969"/>
    <w:rsid w:val="00367907"/>
    <w:rsid w:val="0037096A"/>
    <w:rsid w:val="00376A07"/>
    <w:rsid w:val="00381AAC"/>
    <w:rsid w:val="0038209A"/>
    <w:rsid w:val="00384BA2"/>
    <w:rsid w:val="003872A9"/>
    <w:rsid w:val="0039269A"/>
    <w:rsid w:val="00397D4A"/>
    <w:rsid w:val="003A45B6"/>
    <w:rsid w:val="003B25D1"/>
    <w:rsid w:val="003B3180"/>
    <w:rsid w:val="003B4ABF"/>
    <w:rsid w:val="003B66CD"/>
    <w:rsid w:val="003B6E54"/>
    <w:rsid w:val="003B7CD5"/>
    <w:rsid w:val="003C03E0"/>
    <w:rsid w:val="003C3380"/>
    <w:rsid w:val="003C66B8"/>
    <w:rsid w:val="003C6E39"/>
    <w:rsid w:val="003D20BF"/>
    <w:rsid w:val="003D41F9"/>
    <w:rsid w:val="003D4564"/>
    <w:rsid w:val="003D4A97"/>
    <w:rsid w:val="003D65AB"/>
    <w:rsid w:val="003E15EA"/>
    <w:rsid w:val="003E309A"/>
    <w:rsid w:val="003E414D"/>
    <w:rsid w:val="003F03B2"/>
    <w:rsid w:val="003F4FD2"/>
    <w:rsid w:val="00400388"/>
    <w:rsid w:val="00400678"/>
    <w:rsid w:val="00401081"/>
    <w:rsid w:val="00412423"/>
    <w:rsid w:val="004163BB"/>
    <w:rsid w:val="0041664C"/>
    <w:rsid w:val="00417EFD"/>
    <w:rsid w:val="00421A08"/>
    <w:rsid w:val="00423D7C"/>
    <w:rsid w:val="00425B19"/>
    <w:rsid w:val="0043025A"/>
    <w:rsid w:val="004312DA"/>
    <w:rsid w:val="00431ECB"/>
    <w:rsid w:val="004332B7"/>
    <w:rsid w:val="0043673C"/>
    <w:rsid w:val="00441301"/>
    <w:rsid w:val="004454D1"/>
    <w:rsid w:val="004472C2"/>
    <w:rsid w:val="00447E17"/>
    <w:rsid w:val="0045487E"/>
    <w:rsid w:val="00455AE8"/>
    <w:rsid w:val="0046180F"/>
    <w:rsid w:val="00462B0B"/>
    <w:rsid w:val="00463540"/>
    <w:rsid w:val="00467F52"/>
    <w:rsid w:val="00470D1B"/>
    <w:rsid w:val="00471A24"/>
    <w:rsid w:val="00474C0A"/>
    <w:rsid w:val="00474CDE"/>
    <w:rsid w:val="00480B13"/>
    <w:rsid w:val="00481DFB"/>
    <w:rsid w:val="00486E66"/>
    <w:rsid w:val="00490523"/>
    <w:rsid w:val="00492909"/>
    <w:rsid w:val="00493049"/>
    <w:rsid w:val="0049521C"/>
    <w:rsid w:val="004A0F56"/>
    <w:rsid w:val="004A3113"/>
    <w:rsid w:val="004B2F84"/>
    <w:rsid w:val="004B49C7"/>
    <w:rsid w:val="004B5A9D"/>
    <w:rsid w:val="004C4EBB"/>
    <w:rsid w:val="004C5978"/>
    <w:rsid w:val="004D05DC"/>
    <w:rsid w:val="004D1483"/>
    <w:rsid w:val="004D4526"/>
    <w:rsid w:val="004E2D52"/>
    <w:rsid w:val="004E52C4"/>
    <w:rsid w:val="004F4766"/>
    <w:rsid w:val="004F493A"/>
    <w:rsid w:val="004F54FE"/>
    <w:rsid w:val="004F5F19"/>
    <w:rsid w:val="00501142"/>
    <w:rsid w:val="005015B3"/>
    <w:rsid w:val="00504B5E"/>
    <w:rsid w:val="00507E32"/>
    <w:rsid w:val="00511A5F"/>
    <w:rsid w:val="00512C40"/>
    <w:rsid w:val="00515002"/>
    <w:rsid w:val="005153A5"/>
    <w:rsid w:val="00515A3C"/>
    <w:rsid w:val="00515FF6"/>
    <w:rsid w:val="00516CE4"/>
    <w:rsid w:val="00520C9A"/>
    <w:rsid w:val="005226CE"/>
    <w:rsid w:val="00524F7A"/>
    <w:rsid w:val="0052643B"/>
    <w:rsid w:val="00526C4A"/>
    <w:rsid w:val="00533856"/>
    <w:rsid w:val="00533A35"/>
    <w:rsid w:val="00535106"/>
    <w:rsid w:val="00536B4B"/>
    <w:rsid w:val="00542F35"/>
    <w:rsid w:val="00543DE7"/>
    <w:rsid w:val="005449B1"/>
    <w:rsid w:val="00545E58"/>
    <w:rsid w:val="00547EB6"/>
    <w:rsid w:val="00550D30"/>
    <w:rsid w:val="005522C1"/>
    <w:rsid w:val="0055239E"/>
    <w:rsid w:val="00553700"/>
    <w:rsid w:val="005544F0"/>
    <w:rsid w:val="00554638"/>
    <w:rsid w:val="005600D0"/>
    <w:rsid w:val="00560EB2"/>
    <w:rsid w:val="00563585"/>
    <w:rsid w:val="00564D28"/>
    <w:rsid w:val="00567BCF"/>
    <w:rsid w:val="00571CEF"/>
    <w:rsid w:val="00571FED"/>
    <w:rsid w:val="00580207"/>
    <w:rsid w:val="00585A6C"/>
    <w:rsid w:val="005868F0"/>
    <w:rsid w:val="00587EBF"/>
    <w:rsid w:val="00590538"/>
    <w:rsid w:val="00594DC2"/>
    <w:rsid w:val="005A23AF"/>
    <w:rsid w:val="005A2877"/>
    <w:rsid w:val="005A2C60"/>
    <w:rsid w:val="005A6659"/>
    <w:rsid w:val="005A766A"/>
    <w:rsid w:val="005B13C5"/>
    <w:rsid w:val="005B1B07"/>
    <w:rsid w:val="005B2389"/>
    <w:rsid w:val="005B3AE9"/>
    <w:rsid w:val="005B6344"/>
    <w:rsid w:val="005C1154"/>
    <w:rsid w:val="005C1740"/>
    <w:rsid w:val="005C3694"/>
    <w:rsid w:val="005D1819"/>
    <w:rsid w:val="005D4E12"/>
    <w:rsid w:val="005D584F"/>
    <w:rsid w:val="005D5B22"/>
    <w:rsid w:val="005E06B1"/>
    <w:rsid w:val="005E325A"/>
    <w:rsid w:val="005E3624"/>
    <w:rsid w:val="005E4200"/>
    <w:rsid w:val="005E4688"/>
    <w:rsid w:val="005E577C"/>
    <w:rsid w:val="005F1614"/>
    <w:rsid w:val="005F3598"/>
    <w:rsid w:val="005F5B06"/>
    <w:rsid w:val="005F5F96"/>
    <w:rsid w:val="005F7C02"/>
    <w:rsid w:val="0060016F"/>
    <w:rsid w:val="00601C20"/>
    <w:rsid w:val="00603C67"/>
    <w:rsid w:val="00603E9B"/>
    <w:rsid w:val="006112D6"/>
    <w:rsid w:val="00621810"/>
    <w:rsid w:val="006225F7"/>
    <w:rsid w:val="0062466F"/>
    <w:rsid w:val="00624932"/>
    <w:rsid w:val="00630252"/>
    <w:rsid w:val="00634A92"/>
    <w:rsid w:val="0063614D"/>
    <w:rsid w:val="0064223F"/>
    <w:rsid w:val="00650E36"/>
    <w:rsid w:val="00652022"/>
    <w:rsid w:val="00653A05"/>
    <w:rsid w:val="00656801"/>
    <w:rsid w:val="006639EA"/>
    <w:rsid w:val="006660D5"/>
    <w:rsid w:val="00667232"/>
    <w:rsid w:val="00667C40"/>
    <w:rsid w:val="0067264B"/>
    <w:rsid w:val="0067618C"/>
    <w:rsid w:val="006767DD"/>
    <w:rsid w:val="00682699"/>
    <w:rsid w:val="00683DA3"/>
    <w:rsid w:val="00687998"/>
    <w:rsid w:val="00690357"/>
    <w:rsid w:val="00690B19"/>
    <w:rsid w:val="00693324"/>
    <w:rsid w:val="00693385"/>
    <w:rsid w:val="0069439E"/>
    <w:rsid w:val="00695FC1"/>
    <w:rsid w:val="006A586A"/>
    <w:rsid w:val="006A5A22"/>
    <w:rsid w:val="006B043D"/>
    <w:rsid w:val="006B072C"/>
    <w:rsid w:val="006B3160"/>
    <w:rsid w:val="006B4BB8"/>
    <w:rsid w:val="006C0D9A"/>
    <w:rsid w:val="006C0EB8"/>
    <w:rsid w:val="006C16A0"/>
    <w:rsid w:val="006C21B3"/>
    <w:rsid w:val="006C7048"/>
    <w:rsid w:val="006C7EB0"/>
    <w:rsid w:val="006D18AC"/>
    <w:rsid w:val="006D45A4"/>
    <w:rsid w:val="006D6ECB"/>
    <w:rsid w:val="006E2B53"/>
    <w:rsid w:val="006E5AFE"/>
    <w:rsid w:val="006E617A"/>
    <w:rsid w:val="006F3DB8"/>
    <w:rsid w:val="00704D4F"/>
    <w:rsid w:val="007073F0"/>
    <w:rsid w:val="0071195A"/>
    <w:rsid w:val="00717DD2"/>
    <w:rsid w:val="00733683"/>
    <w:rsid w:val="00736732"/>
    <w:rsid w:val="00740FD5"/>
    <w:rsid w:val="0074189D"/>
    <w:rsid w:val="00742F67"/>
    <w:rsid w:val="00747F2F"/>
    <w:rsid w:val="007506EA"/>
    <w:rsid w:val="00752377"/>
    <w:rsid w:val="007554C6"/>
    <w:rsid w:val="007579F4"/>
    <w:rsid w:val="007602B0"/>
    <w:rsid w:val="00763A57"/>
    <w:rsid w:val="00764A79"/>
    <w:rsid w:val="00765747"/>
    <w:rsid w:val="00771814"/>
    <w:rsid w:val="00772D89"/>
    <w:rsid w:val="00772DF7"/>
    <w:rsid w:val="007730EF"/>
    <w:rsid w:val="00774897"/>
    <w:rsid w:val="00775002"/>
    <w:rsid w:val="00775765"/>
    <w:rsid w:val="007779F1"/>
    <w:rsid w:val="00782601"/>
    <w:rsid w:val="00784C51"/>
    <w:rsid w:val="007851AC"/>
    <w:rsid w:val="00786E93"/>
    <w:rsid w:val="00787DAF"/>
    <w:rsid w:val="00790F89"/>
    <w:rsid w:val="00793AF3"/>
    <w:rsid w:val="00794CAD"/>
    <w:rsid w:val="00794E42"/>
    <w:rsid w:val="007A0962"/>
    <w:rsid w:val="007A0CBA"/>
    <w:rsid w:val="007A1D37"/>
    <w:rsid w:val="007A4C34"/>
    <w:rsid w:val="007A5574"/>
    <w:rsid w:val="007A7FF9"/>
    <w:rsid w:val="007B0B5C"/>
    <w:rsid w:val="007B347F"/>
    <w:rsid w:val="007C009D"/>
    <w:rsid w:val="007C5040"/>
    <w:rsid w:val="007C51E5"/>
    <w:rsid w:val="007C764A"/>
    <w:rsid w:val="007D4976"/>
    <w:rsid w:val="007E3B3D"/>
    <w:rsid w:val="007E4226"/>
    <w:rsid w:val="007E50C9"/>
    <w:rsid w:val="007E67FB"/>
    <w:rsid w:val="007F2DDC"/>
    <w:rsid w:val="007F498D"/>
    <w:rsid w:val="007F56E7"/>
    <w:rsid w:val="007F5A47"/>
    <w:rsid w:val="00804582"/>
    <w:rsid w:val="00815D7B"/>
    <w:rsid w:val="0082236A"/>
    <w:rsid w:val="0082316E"/>
    <w:rsid w:val="008258F5"/>
    <w:rsid w:val="0083213F"/>
    <w:rsid w:val="008334FD"/>
    <w:rsid w:val="00834E07"/>
    <w:rsid w:val="00835406"/>
    <w:rsid w:val="008400E9"/>
    <w:rsid w:val="008402C4"/>
    <w:rsid w:val="0084066A"/>
    <w:rsid w:val="00840CE1"/>
    <w:rsid w:val="00842121"/>
    <w:rsid w:val="00844E0E"/>
    <w:rsid w:val="00845923"/>
    <w:rsid w:val="00845D59"/>
    <w:rsid w:val="00847A9A"/>
    <w:rsid w:val="008519B8"/>
    <w:rsid w:val="008628C5"/>
    <w:rsid w:val="008661F6"/>
    <w:rsid w:val="00870A99"/>
    <w:rsid w:val="00876FF1"/>
    <w:rsid w:val="008808D5"/>
    <w:rsid w:val="0088253A"/>
    <w:rsid w:val="00882B4A"/>
    <w:rsid w:val="008844D4"/>
    <w:rsid w:val="00891DED"/>
    <w:rsid w:val="00894659"/>
    <w:rsid w:val="008A447A"/>
    <w:rsid w:val="008A6608"/>
    <w:rsid w:val="008B3D3F"/>
    <w:rsid w:val="008C0481"/>
    <w:rsid w:val="008C08C6"/>
    <w:rsid w:val="008C51E6"/>
    <w:rsid w:val="008C5BF7"/>
    <w:rsid w:val="008C6056"/>
    <w:rsid w:val="008D06AC"/>
    <w:rsid w:val="008D21A1"/>
    <w:rsid w:val="008D3D33"/>
    <w:rsid w:val="008D5F79"/>
    <w:rsid w:val="008E0484"/>
    <w:rsid w:val="008E1EE9"/>
    <w:rsid w:val="008E3E39"/>
    <w:rsid w:val="008E4858"/>
    <w:rsid w:val="008F4226"/>
    <w:rsid w:val="008F6DF4"/>
    <w:rsid w:val="008F79F2"/>
    <w:rsid w:val="00902607"/>
    <w:rsid w:val="00903773"/>
    <w:rsid w:val="00906139"/>
    <w:rsid w:val="009077DC"/>
    <w:rsid w:val="00911EAF"/>
    <w:rsid w:val="009129A6"/>
    <w:rsid w:val="009150E3"/>
    <w:rsid w:val="009178E5"/>
    <w:rsid w:val="00920CC0"/>
    <w:rsid w:val="0092443D"/>
    <w:rsid w:val="00931BA5"/>
    <w:rsid w:val="00935CC3"/>
    <w:rsid w:val="00943D6F"/>
    <w:rsid w:val="00944312"/>
    <w:rsid w:val="0095043B"/>
    <w:rsid w:val="00952B70"/>
    <w:rsid w:val="00954C5B"/>
    <w:rsid w:val="00954DB5"/>
    <w:rsid w:val="00956D44"/>
    <w:rsid w:val="00956E39"/>
    <w:rsid w:val="00957C60"/>
    <w:rsid w:val="00962011"/>
    <w:rsid w:val="0096321F"/>
    <w:rsid w:val="0096655E"/>
    <w:rsid w:val="009677CE"/>
    <w:rsid w:val="00982E38"/>
    <w:rsid w:val="00983EA1"/>
    <w:rsid w:val="00984547"/>
    <w:rsid w:val="00986D38"/>
    <w:rsid w:val="00987D20"/>
    <w:rsid w:val="00994865"/>
    <w:rsid w:val="00995512"/>
    <w:rsid w:val="009967E9"/>
    <w:rsid w:val="009A02E4"/>
    <w:rsid w:val="009A3767"/>
    <w:rsid w:val="009A766A"/>
    <w:rsid w:val="009B0181"/>
    <w:rsid w:val="009B066D"/>
    <w:rsid w:val="009B7EAE"/>
    <w:rsid w:val="009C1CE0"/>
    <w:rsid w:val="009C21AD"/>
    <w:rsid w:val="009C38CC"/>
    <w:rsid w:val="009C3D17"/>
    <w:rsid w:val="009C7A31"/>
    <w:rsid w:val="009D30F6"/>
    <w:rsid w:val="009D5A69"/>
    <w:rsid w:val="009E09B2"/>
    <w:rsid w:val="009E3D06"/>
    <w:rsid w:val="009F0643"/>
    <w:rsid w:val="009F0AC5"/>
    <w:rsid w:val="009F28B3"/>
    <w:rsid w:val="009F3B99"/>
    <w:rsid w:val="009F4017"/>
    <w:rsid w:val="009F4154"/>
    <w:rsid w:val="009F4740"/>
    <w:rsid w:val="009F7473"/>
    <w:rsid w:val="00A01C6E"/>
    <w:rsid w:val="00A05554"/>
    <w:rsid w:val="00A05967"/>
    <w:rsid w:val="00A06222"/>
    <w:rsid w:val="00A0774D"/>
    <w:rsid w:val="00A14E68"/>
    <w:rsid w:val="00A201C6"/>
    <w:rsid w:val="00A22C49"/>
    <w:rsid w:val="00A23629"/>
    <w:rsid w:val="00A33604"/>
    <w:rsid w:val="00A35B65"/>
    <w:rsid w:val="00A36C5D"/>
    <w:rsid w:val="00A41977"/>
    <w:rsid w:val="00A47221"/>
    <w:rsid w:val="00A5409C"/>
    <w:rsid w:val="00A54993"/>
    <w:rsid w:val="00A608DE"/>
    <w:rsid w:val="00A60E9B"/>
    <w:rsid w:val="00A65E43"/>
    <w:rsid w:val="00A67587"/>
    <w:rsid w:val="00A70DA7"/>
    <w:rsid w:val="00A76358"/>
    <w:rsid w:val="00A8063E"/>
    <w:rsid w:val="00A8289B"/>
    <w:rsid w:val="00A845CB"/>
    <w:rsid w:val="00A84925"/>
    <w:rsid w:val="00A90FC4"/>
    <w:rsid w:val="00A91548"/>
    <w:rsid w:val="00A92AC1"/>
    <w:rsid w:val="00A9476B"/>
    <w:rsid w:val="00A95B2F"/>
    <w:rsid w:val="00A967C6"/>
    <w:rsid w:val="00A9740A"/>
    <w:rsid w:val="00A979FD"/>
    <w:rsid w:val="00AA2B7E"/>
    <w:rsid w:val="00AB71D4"/>
    <w:rsid w:val="00AC314A"/>
    <w:rsid w:val="00AC3F17"/>
    <w:rsid w:val="00AC5521"/>
    <w:rsid w:val="00AE0645"/>
    <w:rsid w:val="00AE2DE3"/>
    <w:rsid w:val="00AE3D4D"/>
    <w:rsid w:val="00AE4B3A"/>
    <w:rsid w:val="00AF2F10"/>
    <w:rsid w:val="00AF5D7D"/>
    <w:rsid w:val="00AF5FD7"/>
    <w:rsid w:val="00B0276B"/>
    <w:rsid w:val="00B04EF2"/>
    <w:rsid w:val="00B05E12"/>
    <w:rsid w:val="00B062CA"/>
    <w:rsid w:val="00B07504"/>
    <w:rsid w:val="00B07BCF"/>
    <w:rsid w:val="00B07E57"/>
    <w:rsid w:val="00B10DD6"/>
    <w:rsid w:val="00B12B94"/>
    <w:rsid w:val="00B1407D"/>
    <w:rsid w:val="00B1473A"/>
    <w:rsid w:val="00B16411"/>
    <w:rsid w:val="00B16775"/>
    <w:rsid w:val="00B231B6"/>
    <w:rsid w:val="00B25395"/>
    <w:rsid w:val="00B27020"/>
    <w:rsid w:val="00B27576"/>
    <w:rsid w:val="00B31428"/>
    <w:rsid w:val="00B326B7"/>
    <w:rsid w:val="00B352AD"/>
    <w:rsid w:val="00B35302"/>
    <w:rsid w:val="00B35806"/>
    <w:rsid w:val="00B35DF1"/>
    <w:rsid w:val="00B41920"/>
    <w:rsid w:val="00B426AC"/>
    <w:rsid w:val="00B46AFE"/>
    <w:rsid w:val="00B60C1E"/>
    <w:rsid w:val="00B678A2"/>
    <w:rsid w:val="00B71225"/>
    <w:rsid w:val="00B748F5"/>
    <w:rsid w:val="00B76A54"/>
    <w:rsid w:val="00B77512"/>
    <w:rsid w:val="00B80403"/>
    <w:rsid w:val="00B822E1"/>
    <w:rsid w:val="00B835BF"/>
    <w:rsid w:val="00B83FAC"/>
    <w:rsid w:val="00B844BE"/>
    <w:rsid w:val="00B87CCA"/>
    <w:rsid w:val="00B95235"/>
    <w:rsid w:val="00B958E8"/>
    <w:rsid w:val="00B961ED"/>
    <w:rsid w:val="00B96958"/>
    <w:rsid w:val="00BA067C"/>
    <w:rsid w:val="00BA258E"/>
    <w:rsid w:val="00BA39F2"/>
    <w:rsid w:val="00BA3D59"/>
    <w:rsid w:val="00BA74E7"/>
    <w:rsid w:val="00BB3067"/>
    <w:rsid w:val="00BB5487"/>
    <w:rsid w:val="00BC110D"/>
    <w:rsid w:val="00BC1463"/>
    <w:rsid w:val="00BC200F"/>
    <w:rsid w:val="00BC272E"/>
    <w:rsid w:val="00BC3FEE"/>
    <w:rsid w:val="00BC53E6"/>
    <w:rsid w:val="00BD3117"/>
    <w:rsid w:val="00BD42DE"/>
    <w:rsid w:val="00BD50F1"/>
    <w:rsid w:val="00BE1897"/>
    <w:rsid w:val="00BE1B85"/>
    <w:rsid w:val="00BE21C0"/>
    <w:rsid w:val="00BE3AFF"/>
    <w:rsid w:val="00BE4813"/>
    <w:rsid w:val="00BE5EF6"/>
    <w:rsid w:val="00BF1E67"/>
    <w:rsid w:val="00BF2E78"/>
    <w:rsid w:val="00BF6F20"/>
    <w:rsid w:val="00C01275"/>
    <w:rsid w:val="00C02573"/>
    <w:rsid w:val="00C02B9D"/>
    <w:rsid w:val="00C030CA"/>
    <w:rsid w:val="00C038BE"/>
    <w:rsid w:val="00C03A7D"/>
    <w:rsid w:val="00C045F1"/>
    <w:rsid w:val="00C05A4B"/>
    <w:rsid w:val="00C10803"/>
    <w:rsid w:val="00C115F2"/>
    <w:rsid w:val="00C11C62"/>
    <w:rsid w:val="00C12272"/>
    <w:rsid w:val="00C1440B"/>
    <w:rsid w:val="00C1593D"/>
    <w:rsid w:val="00C162B8"/>
    <w:rsid w:val="00C25C72"/>
    <w:rsid w:val="00C262F7"/>
    <w:rsid w:val="00C31AE9"/>
    <w:rsid w:val="00C36166"/>
    <w:rsid w:val="00C3632D"/>
    <w:rsid w:val="00C36CE5"/>
    <w:rsid w:val="00C3774F"/>
    <w:rsid w:val="00C4034E"/>
    <w:rsid w:val="00C41010"/>
    <w:rsid w:val="00C4112D"/>
    <w:rsid w:val="00C4534B"/>
    <w:rsid w:val="00C46212"/>
    <w:rsid w:val="00C4716D"/>
    <w:rsid w:val="00C5493F"/>
    <w:rsid w:val="00C54A1C"/>
    <w:rsid w:val="00C6251B"/>
    <w:rsid w:val="00C62614"/>
    <w:rsid w:val="00C62D3F"/>
    <w:rsid w:val="00C63B71"/>
    <w:rsid w:val="00C644E2"/>
    <w:rsid w:val="00C6584F"/>
    <w:rsid w:val="00C66C66"/>
    <w:rsid w:val="00C70C14"/>
    <w:rsid w:val="00C727A6"/>
    <w:rsid w:val="00C73D91"/>
    <w:rsid w:val="00C778E9"/>
    <w:rsid w:val="00C80387"/>
    <w:rsid w:val="00C819ED"/>
    <w:rsid w:val="00C82770"/>
    <w:rsid w:val="00C90BDB"/>
    <w:rsid w:val="00CA3072"/>
    <w:rsid w:val="00CA4308"/>
    <w:rsid w:val="00CA441C"/>
    <w:rsid w:val="00CB005D"/>
    <w:rsid w:val="00CB2BC1"/>
    <w:rsid w:val="00CB53B9"/>
    <w:rsid w:val="00CB758A"/>
    <w:rsid w:val="00CC08FF"/>
    <w:rsid w:val="00CC150F"/>
    <w:rsid w:val="00CC1FCB"/>
    <w:rsid w:val="00CC29D7"/>
    <w:rsid w:val="00CC5179"/>
    <w:rsid w:val="00CC71E0"/>
    <w:rsid w:val="00CD4ECA"/>
    <w:rsid w:val="00CE14FC"/>
    <w:rsid w:val="00CE4DFE"/>
    <w:rsid w:val="00CE555A"/>
    <w:rsid w:val="00CE61D1"/>
    <w:rsid w:val="00CE7338"/>
    <w:rsid w:val="00CF5085"/>
    <w:rsid w:val="00CF51DF"/>
    <w:rsid w:val="00CF51E0"/>
    <w:rsid w:val="00CF57E0"/>
    <w:rsid w:val="00CF6F2C"/>
    <w:rsid w:val="00D03C65"/>
    <w:rsid w:val="00D0568A"/>
    <w:rsid w:val="00D11BD4"/>
    <w:rsid w:val="00D15FB9"/>
    <w:rsid w:val="00D223A7"/>
    <w:rsid w:val="00D2305E"/>
    <w:rsid w:val="00D23D48"/>
    <w:rsid w:val="00D259FD"/>
    <w:rsid w:val="00D33904"/>
    <w:rsid w:val="00D354F7"/>
    <w:rsid w:val="00D360CC"/>
    <w:rsid w:val="00D4275D"/>
    <w:rsid w:val="00D45D3D"/>
    <w:rsid w:val="00D5682B"/>
    <w:rsid w:val="00D60042"/>
    <w:rsid w:val="00D63242"/>
    <w:rsid w:val="00D63BC0"/>
    <w:rsid w:val="00D642D4"/>
    <w:rsid w:val="00D6642B"/>
    <w:rsid w:val="00D668B3"/>
    <w:rsid w:val="00D67C63"/>
    <w:rsid w:val="00D71B2C"/>
    <w:rsid w:val="00D72060"/>
    <w:rsid w:val="00D74259"/>
    <w:rsid w:val="00D7677B"/>
    <w:rsid w:val="00D8169F"/>
    <w:rsid w:val="00D828F6"/>
    <w:rsid w:val="00D8442D"/>
    <w:rsid w:val="00D84B33"/>
    <w:rsid w:val="00D851FC"/>
    <w:rsid w:val="00D87069"/>
    <w:rsid w:val="00D875F7"/>
    <w:rsid w:val="00D90894"/>
    <w:rsid w:val="00D929BA"/>
    <w:rsid w:val="00DA0582"/>
    <w:rsid w:val="00DA4549"/>
    <w:rsid w:val="00DA5CB2"/>
    <w:rsid w:val="00DA791E"/>
    <w:rsid w:val="00DB6040"/>
    <w:rsid w:val="00DB6553"/>
    <w:rsid w:val="00DC11E9"/>
    <w:rsid w:val="00DC1922"/>
    <w:rsid w:val="00DC2807"/>
    <w:rsid w:val="00DC48AA"/>
    <w:rsid w:val="00DD10A5"/>
    <w:rsid w:val="00DD146F"/>
    <w:rsid w:val="00DD4447"/>
    <w:rsid w:val="00DD63A9"/>
    <w:rsid w:val="00DE1EDB"/>
    <w:rsid w:val="00DE6266"/>
    <w:rsid w:val="00DE7368"/>
    <w:rsid w:val="00DF2846"/>
    <w:rsid w:val="00DF3E0E"/>
    <w:rsid w:val="00DF56CB"/>
    <w:rsid w:val="00DF6C75"/>
    <w:rsid w:val="00DF6DD3"/>
    <w:rsid w:val="00E006FB"/>
    <w:rsid w:val="00E042F5"/>
    <w:rsid w:val="00E04863"/>
    <w:rsid w:val="00E05958"/>
    <w:rsid w:val="00E06BEB"/>
    <w:rsid w:val="00E07746"/>
    <w:rsid w:val="00E109B5"/>
    <w:rsid w:val="00E13495"/>
    <w:rsid w:val="00E20654"/>
    <w:rsid w:val="00E20817"/>
    <w:rsid w:val="00E213E8"/>
    <w:rsid w:val="00E22267"/>
    <w:rsid w:val="00E22974"/>
    <w:rsid w:val="00E24228"/>
    <w:rsid w:val="00E308D9"/>
    <w:rsid w:val="00E30E1C"/>
    <w:rsid w:val="00E31EED"/>
    <w:rsid w:val="00E35A64"/>
    <w:rsid w:val="00E35C1E"/>
    <w:rsid w:val="00E3600A"/>
    <w:rsid w:val="00E36BBB"/>
    <w:rsid w:val="00E4433E"/>
    <w:rsid w:val="00E46FAE"/>
    <w:rsid w:val="00E50497"/>
    <w:rsid w:val="00E51367"/>
    <w:rsid w:val="00E544E0"/>
    <w:rsid w:val="00E54BE6"/>
    <w:rsid w:val="00E560E1"/>
    <w:rsid w:val="00E56957"/>
    <w:rsid w:val="00E616DF"/>
    <w:rsid w:val="00E61B2D"/>
    <w:rsid w:val="00E61B8A"/>
    <w:rsid w:val="00E631DD"/>
    <w:rsid w:val="00E720CD"/>
    <w:rsid w:val="00E7419E"/>
    <w:rsid w:val="00E74401"/>
    <w:rsid w:val="00E757B1"/>
    <w:rsid w:val="00E75C26"/>
    <w:rsid w:val="00E75E2F"/>
    <w:rsid w:val="00E761B4"/>
    <w:rsid w:val="00E76BB2"/>
    <w:rsid w:val="00E8245D"/>
    <w:rsid w:val="00E82697"/>
    <w:rsid w:val="00EA1796"/>
    <w:rsid w:val="00EA4406"/>
    <w:rsid w:val="00EA4801"/>
    <w:rsid w:val="00EA6C46"/>
    <w:rsid w:val="00EB4409"/>
    <w:rsid w:val="00EB74AE"/>
    <w:rsid w:val="00EC1F5A"/>
    <w:rsid w:val="00EC4108"/>
    <w:rsid w:val="00ED1E43"/>
    <w:rsid w:val="00ED7474"/>
    <w:rsid w:val="00ED7E87"/>
    <w:rsid w:val="00EE3087"/>
    <w:rsid w:val="00EE5C70"/>
    <w:rsid w:val="00EE6E09"/>
    <w:rsid w:val="00EF02F1"/>
    <w:rsid w:val="00EF08F4"/>
    <w:rsid w:val="00EF164C"/>
    <w:rsid w:val="00EF2B97"/>
    <w:rsid w:val="00EF75DD"/>
    <w:rsid w:val="00F0042B"/>
    <w:rsid w:val="00F0126E"/>
    <w:rsid w:val="00F02FAF"/>
    <w:rsid w:val="00F04F3B"/>
    <w:rsid w:val="00F13964"/>
    <w:rsid w:val="00F13AC4"/>
    <w:rsid w:val="00F158E1"/>
    <w:rsid w:val="00F25B70"/>
    <w:rsid w:val="00F30392"/>
    <w:rsid w:val="00F3048E"/>
    <w:rsid w:val="00F369D6"/>
    <w:rsid w:val="00F37589"/>
    <w:rsid w:val="00F40BDE"/>
    <w:rsid w:val="00F461AC"/>
    <w:rsid w:val="00F536BE"/>
    <w:rsid w:val="00F53B16"/>
    <w:rsid w:val="00F57A3D"/>
    <w:rsid w:val="00F616A4"/>
    <w:rsid w:val="00F709D6"/>
    <w:rsid w:val="00F73F58"/>
    <w:rsid w:val="00F77BA0"/>
    <w:rsid w:val="00F850D6"/>
    <w:rsid w:val="00F85BC8"/>
    <w:rsid w:val="00F874F7"/>
    <w:rsid w:val="00F87C8F"/>
    <w:rsid w:val="00F91072"/>
    <w:rsid w:val="00F97503"/>
    <w:rsid w:val="00FA0B56"/>
    <w:rsid w:val="00FA26A1"/>
    <w:rsid w:val="00FA271D"/>
    <w:rsid w:val="00FA5D09"/>
    <w:rsid w:val="00FA75E1"/>
    <w:rsid w:val="00FB4CCA"/>
    <w:rsid w:val="00FB6C92"/>
    <w:rsid w:val="00FC0415"/>
    <w:rsid w:val="00FC2690"/>
    <w:rsid w:val="00FC6CD1"/>
    <w:rsid w:val="00FC79B6"/>
    <w:rsid w:val="00FC7B10"/>
    <w:rsid w:val="00FD14AB"/>
    <w:rsid w:val="00FD2649"/>
    <w:rsid w:val="00FD679E"/>
    <w:rsid w:val="00FE0845"/>
    <w:rsid w:val="00FE1CAF"/>
    <w:rsid w:val="00FE7167"/>
    <w:rsid w:val="00FF1ADD"/>
    <w:rsid w:val="00FF1F41"/>
    <w:rsid w:val="0AEED383"/>
    <w:rsid w:val="101F9281"/>
    <w:rsid w:val="16BB9ADE"/>
    <w:rsid w:val="2153D0AB"/>
    <w:rsid w:val="26AA586C"/>
    <w:rsid w:val="30CF8E44"/>
    <w:rsid w:val="4DE82F32"/>
    <w:rsid w:val="5B7C2594"/>
    <w:rsid w:val="5D615E86"/>
    <w:rsid w:val="63E942E1"/>
    <w:rsid w:val="6593B4C4"/>
    <w:rsid w:val="663485FC"/>
    <w:rsid w:val="6A46BC9D"/>
    <w:rsid w:val="6D3FE727"/>
    <w:rsid w:val="6D85E1C7"/>
    <w:rsid w:val="78826936"/>
    <w:rsid w:val="7DAEF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C559"/>
  <w15:chartTrackingRefBased/>
  <w15:docId w15:val="{6A95312D-6D87-4DA8-B8F1-8E36FEC09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5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5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5E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5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5EA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5EA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5EA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5EA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5E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5E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5E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5E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5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5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5E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5E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5EAB"/>
    <w:rPr>
      <w:rFonts w:eastAsiaTheme="majorEastAsia" w:cstheme="majorBidi"/>
      <w:color w:val="272727" w:themeColor="text1" w:themeTint="D8"/>
    </w:rPr>
  </w:style>
  <w:style w:type="paragraph" w:styleId="Title">
    <w:name w:val="Title"/>
    <w:basedOn w:val="Normal"/>
    <w:next w:val="Normal"/>
    <w:link w:val="TitleChar"/>
    <w:uiPriority w:val="10"/>
    <w:qFormat/>
    <w:rsid w:val="001A5E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5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5E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5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5EAB"/>
    <w:pPr>
      <w:spacing w:before="160"/>
      <w:jc w:val="center"/>
    </w:pPr>
    <w:rPr>
      <w:i/>
      <w:iCs/>
      <w:color w:val="404040" w:themeColor="text1" w:themeTint="BF"/>
    </w:rPr>
  </w:style>
  <w:style w:type="character" w:customStyle="1" w:styleId="QuoteChar">
    <w:name w:val="Quote Char"/>
    <w:basedOn w:val="DefaultParagraphFont"/>
    <w:link w:val="Quote"/>
    <w:uiPriority w:val="29"/>
    <w:rsid w:val="001A5EAB"/>
    <w:rPr>
      <w:i/>
      <w:iCs/>
      <w:color w:val="404040" w:themeColor="text1" w:themeTint="BF"/>
    </w:rPr>
  </w:style>
  <w:style w:type="paragraph" w:styleId="ListParagraph">
    <w:name w:val="List Paragraph"/>
    <w:basedOn w:val="Normal"/>
    <w:uiPriority w:val="34"/>
    <w:qFormat/>
    <w:rsid w:val="001A5EAB"/>
    <w:pPr>
      <w:ind w:left="720"/>
      <w:contextualSpacing/>
    </w:pPr>
  </w:style>
  <w:style w:type="character" w:styleId="IntenseEmphasis">
    <w:name w:val="Intense Emphasis"/>
    <w:basedOn w:val="DefaultParagraphFont"/>
    <w:uiPriority w:val="21"/>
    <w:qFormat/>
    <w:rsid w:val="001A5EAB"/>
    <w:rPr>
      <w:i/>
      <w:iCs/>
      <w:color w:val="0F4761" w:themeColor="accent1" w:themeShade="BF"/>
    </w:rPr>
  </w:style>
  <w:style w:type="paragraph" w:styleId="IntenseQuote">
    <w:name w:val="Intense Quote"/>
    <w:basedOn w:val="Normal"/>
    <w:next w:val="Normal"/>
    <w:link w:val="IntenseQuoteChar"/>
    <w:uiPriority w:val="30"/>
    <w:qFormat/>
    <w:rsid w:val="001A5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5EAB"/>
    <w:rPr>
      <w:i/>
      <w:iCs/>
      <w:color w:val="0F4761" w:themeColor="accent1" w:themeShade="BF"/>
    </w:rPr>
  </w:style>
  <w:style w:type="character" w:styleId="IntenseReference">
    <w:name w:val="Intense Reference"/>
    <w:basedOn w:val="DefaultParagraphFont"/>
    <w:uiPriority w:val="32"/>
    <w:qFormat/>
    <w:rsid w:val="001A5EAB"/>
    <w:rPr>
      <w:b/>
      <w:bCs/>
      <w:smallCaps/>
      <w:color w:val="0F4761" w:themeColor="accent1" w:themeShade="BF"/>
      <w:spacing w:val="5"/>
    </w:rPr>
  </w:style>
  <w:style w:type="paragraph" w:styleId="FootnoteText">
    <w:name w:val="footnote text"/>
    <w:basedOn w:val="Normal"/>
    <w:link w:val="FootnoteTextChar"/>
    <w:unhideWhenUsed/>
    <w:rsid w:val="00397D4A"/>
    <w:pPr>
      <w:spacing w:after="0" w:line="240" w:lineRule="auto"/>
    </w:pPr>
    <w:rPr>
      <w:sz w:val="20"/>
      <w:szCs w:val="20"/>
    </w:rPr>
  </w:style>
  <w:style w:type="character" w:customStyle="1" w:styleId="FootnoteTextChar">
    <w:name w:val="Footnote Text Char"/>
    <w:basedOn w:val="DefaultParagraphFont"/>
    <w:link w:val="FootnoteText"/>
    <w:rsid w:val="00397D4A"/>
    <w:rPr>
      <w:sz w:val="20"/>
      <w:szCs w:val="20"/>
    </w:rPr>
  </w:style>
  <w:style w:type="character" w:styleId="FootnoteReference">
    <w:name w:val="footnote reference"/>
    <w:basedOn w:val="DefaultParagraphFont"/>
    <w:unhideWhenUsed/>
    <w:qFormat/>
    <w:rsid w:val="00397D4A"/>
    <w:rPr>
      <w:vertAlign w:val="superscript"/>
    </w:rPr>
  </w:style>
  <w:style w:type="character" w:styleId="Hyperlink">
    <w:name w:val="Hyperlink"/>
    <w:basedOn w:val="DefaultParagraphFont"/>
    <w:uiPriority w:val="99"/>
    <w:unhideWhenUsed/>
    <w:rsid w:val="00397D4A"/>
    <w:rPr>
      <w:color w:val="0000FF"/>
      <w:u w:val="single"/>
    </w:rPr>
  </w:style>
  <w:style w:type="paragraph" w:customStyle="1" w:styleId="Default">
    <w:name w:val="Default"/>
    <w:rsid w:val="00A979FD"/>
    <w:pPr>
      <w:autoSpaceDE w:val="0"/>
      <w:autoSpaceDN w:val="0"/>
      <w:adjustRightInd w:val="0"/>
      <w:spacing w:after="0" w:line="240" w:lineRule="auto"/>
    </w:pPr>
    <w:rPr>
      <w:rFonts w:ascii="Arial" w:hAnsi="Arial" w:cs="Arial"/>
      <w:color w:val="000000"/>
      <w:kern w:val="0"/>
      <w:sz w:val="24"/>
      <w:szCs w:val="24"/>
    </w:rPr>
  </w:style>
  <w:style w:type="character" w:styleId="CommentReference">
    <w:name w:val="annotation reference"/>
    <w:basedOn w:val="DefaultParagraphFont"/>
    <w:uiPriority w:val="99"/>
    <w:semiHidden/>
    <w:unhideWhenUsed/>
    <w:rsid w:val="0010314F"/>
    <w:rPr>
      <w:sz w:val="16"/>
      <w:szCs w:val="16"/>
    </w:rPr>
  </w:style>
  <w:style w:type="paragraph" w:styleId="CommentText">
    <w:name w:val="annotation text"/>
    <w:basedOn w:val="Normal"/>
    <w:link w:val="CommentTextChar"/>
    <w:uiPriority w:val="99"/>
    <w:unhideWhenUsed/>
    <w:rsid w:val="0010314F"/>
    <w:pPr>
      <w:spacing w:line="240" w:lineRule="auto"/>
    </w:pPr>
    <w:rPr>
      <w:sz w:val="20"/>
      <w:szCs w:val="20"/>
    </w:rPr>
  </w:style>
  <w:style w:type="character" w:customStyle="1" w:styleId="CommentTextChar">
    <w:name w:val="Comment Text Char"/>
    <w:basedOn w:val="DefaultParagraphFont"/>
    <w:link w:val="CommentText"/>
    <w:uiPriority w:val="99"/>
    <w:rsid w:val="0010314F"/>
    <w:rPr>
      <w:sz w:val="20"/>
      <w:szCs w:val="20"/>
    </w:rPr>
  </w:style>
  <w:style w:type="paragraph" w:styleId="CommentSubject">
    <w:name w:val="annotation subject"/>
    <w:basedOn w:val="CommentText"/>
    <w:next w:val="CommentText"/>
    <w:link w:val="CommentSubjectChar"/>
    <w:uiPriority w:val="99"/>
    <w:semiHidden/>
    <w:unhideWhenUsed/>
    <w:rsid w:val="0010314F"/>
    <w:rPr>
      <w:b/>
      <w:bCs/>
    </w:rPr>
  </w:style>
  <w:style w:type="character" w:customStyle="1" w:styleId="CommentSubjectChar">
    <w:name w:val="Comment Subject Char"/>
    <w:basedOn w:val="CommentTextChar"/>
    <w:link w:val="CommentSubject"/>
    <w:uiPriority w:val="99"/>
    <w:semiHidden/>
    <w:rsid w:val="0010314F"/>
    <w:rPr>
      <w:b/>
      <w:bCs/>
      <w:sz w:val="20"/>
      <w:szCs w:val="20"/>
    </w:rPr>
  </w:style>
  <w:style w:type="table" w:styleId="TableGrid">
    <w:name w:val="Table Grid"/>
    <w:basedOn w:val="TableNormal"/>
    <w:uiPriority w:val="39"/>
    <w:rsid w:val="001A637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548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BB5487"/>
  </w:style>
  <w:style w:type="character" w:customStyle="1" w:styleId="eop">
    <w:name w:val="eop"/>
    <w:basedOn w:val="DefaultParagraphFont"/>
    <w:rsid w:val="00BB5487"/>
  </w:style>
  <w:style w:type="character" w:styleId="UnresolvedMention">
    <w:name w:val="Unresolved Mention"/>
    <w:basedOn w:val="DefaultParagraphFont"/>
    <w:uiPriority w:val="99"/>
    <w:semiHidden/>
    <w:unhideWhenUsed/>
    <w:rsid w:val="00BB5487"/>
    <w:rPr>
      <w:color w:val="605E5C"/>
      <w:shd w:val="clear" w:color="auto" w:fill="E1DFDD"/>
    </w:rPr>
  </w:style>
  <w:style w:type="paragraph" w:styleId="Header">
    <w:name w:val="header"/>
    <w:basedOn w:val="Normal"/>
    <w:link w:val="HeaderChar"/>
    <w:uiPriority w:val="99"/>
    <w:unhideWhenUsed/>
    <w:rsid w:val="00935C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5CC3"/>
  </w:style>
  <w:style w:type="paragraph" w:styleId="Footer">
    <w:name w:val="footer"/>
    <w:basedOn w:val="Normal"/>
    <w:link w:val="FooterChar"/>
    <w:uiPriority w:val="99"/>
    <w:unhideWhenUsed/>
    <w:rsid w:val="00935C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5CC3"/>
  </w:style>
  <w:style w:type="paragraph" w:styleId="Revision">
    <w:name w:val="Revision"/>
    <w:hidden/>
    <w:uiPriority w:val="99"/>
    <w:semiHidden/>
    <w:rsid w:val="005449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kroger@huntenerg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wood@huntenergy.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150b533-2c66-486d-99d6-8c73de3aaa0f"/>
    <lcf76f155ced4ddcb4097134ff3c332f xmlns="5a777c81-547e-4a13-8cc2-3f7655b6426b">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91520C0E88A049BA230838797744A5" ma:contentTypeVersion="20" ma:contentTypeDescription="Create a new document." ma:contentTypeScope="" ma:versionID="35022220c5e0e68dfc8cb9bc30dd84f4">
  <xsd:schema xmlns:xsd="http://www.w3.org/2001/XMLSchema" xmlns:xs="http://www.w3.org/2001/XMLSchema" xmlns:p="http://schemas.microsoft.com/office/2006/metadata/properties" xmlns:ns1="http://schemas.microsoft.com/sharepoint/v3" xmlns:ns2="5a777c81-547e-4a13-8cc2-3f7655b6426b" xmlns:ns3="cddc94ff-db41-4eb0-af71-9fac95c1936c" xmlns:ns4="a150b533-2c66-486d-99d6-8c73de3aaa0f" targetNamespace="http://schemas.microsoft.com/office/2006/metadata/properties" ma:root="true" ma:fieldsID="ecc0f55a46bd6b70f49ef924d07bc96a" ns1:_="" ns2:_="" ns3:_="" ns4:_="">
    <xsd:import namespace="http://schemas.microsoft.com/sharepoint/v3"/>
    <xsd:import namespace="5a777c81-547e-4a13-8cc2-3f7655b6426b"/>
    <xsd:import namespace="cddc94ff-db41-4eb0-af71-9fac95c1936c"/>
    <xsd:import namespace="a150b533-2c66-486d-99d6-8c73de3aaa0f"/>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777c81-547e-4a13-8cc2-3f7655b64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781383-0b76-4916-b038-7867f577cd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dc94ff-db41-4eb0-af71-9fac95c1936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50b533-2c66-486d-99d6-8c73de3aaa0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ff79395d-da69-471b-a4d3-00168e510a60}" ma:internalName="TaxCatchAll" ma:showField="CatchAllData" ma:web="cddc94ff-db41-4eb0-af71-9fac95c193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4E69B-357F-4ACD-936D-0D64688D9846}">
  <ds:schemaRefs>
    <ds:schemaRef ds:uri="http://schemas.microsoft.com/sharepoint/v3/contenttype/forms"/>
  </ds:schemaRefs>
</ds:datastoreItem>
</file>

<file path=customXml/itemProps2.xml><?xml version="1.0" encoding="utf-8"?>
<ds:datastoreItem xmlns:ds="http://schemas.openxmlformats.org/officeDocument/2006/customXml" ds:itemID="{906C37F0-3C4F-4F43-9AC9-0DEAB3210F61}">
  <ds:schemaRefs>
    <ds:schemaRef ds:uri="http://schemas.microsoft.com/office/2006/metadata/properties"/>
    <ds:schemaRef ds:uri="http://schemas.microsoft.com/office/infopath/2007/PartnerControls"/>
    <ds:schemaRef ds:uri="http://schemas.microsoft.com/sharepoint/v3"/>
    <ds:schemaRef ds:uri="a150b533-2c66-486d-99d6-8c73de3aaa0f"/>
    <ds:schemaRef ds:uri="5a777c81-547e-4a13-8cc2-3f7655b6426b"/>
  </ds:schemaRefs>
</ds:datastoreItem>
</file>

<file path=customXml/itemProps3.xml><?xml version="1.0" encoding="utf-8"?>
<ds:datastoreItem xmlns:ds="http://schemas.openxmlformats.org/officeDocument/2006/customXml" ds:itemID="{6E530D6D-28EC-4C8D-881C-B12F1FF16CE2}">
  <ds:schemaRefs>
    <ds:schemaRef ds:uri="http://schemas.openxmlformats.org/officeDocument/2006/bibliography"/>
  </ds:schemaRefs>
</ds:datastoreItem>
</file>

<file path=customXml/itemProps4.xml><?xml version="1.0" encoding="utf-8"?>
<ds:datastoreItem xmlns:ds="http://schemas.openxmlformats.org/officeDocument/2006/customXml" ds:itemID="{3F31DF25-B31F-425A-AD4D-6FF2DC0A8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777c81-547e-4a13-8cc2-3f7655b6426b"/>
    <ds:schemaRef ds:uri="cddc94ff-db41-4eb0-af71-9fac95c1936c"/>
    <ds:schemaRef ds:uri="a150b533-2c66-486d-99d6-8c73de3aa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138c6f0-5a7d-442a-af21-96b5dcaeeea2}" enabled="0" method="" siteId="{4138c6f0-5a7d-442a-af21-96b5dcaeeea2}" removed="1"/>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4007</Words>
  <Characters>22841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26795</CharactersWithSpaces>
  <SharedDoc>false</SharedDoc>
  <HLinks>
    <vt:vector size="18" baseType="variant">
      <vt:variant>
        <vt:i4>5636204</vt:i4>
      </vt:variant>
      <vt:variant>
        <vt:i4>3</vt:i4>
      </vt:variant>
      <vt:variant>
        <vt:i4>0</vt:i4>
      </vt:variant>
      <vt:variant>
        <vt:i4>5</vt:i4>
      </vt:variant>
      <vt:variant>
        <vt:lpwstr>mailto:skroger@huntenergy.com</vt:lpwstr>
      </vt:variant>
      <vt:variant>
        <vt:lpwstr/>
      </vt:variant>
      <vt:variant>
        <vt:i4>3735573</vt:i4>
      </vt:variant>
      <vt:variant>
        <vt:i4>0</vt:i4>
      </vt:variant>
      <vt:variant>
        <vt:i4>0</vt:i4>
      </vt:variant>
      <vt:variant>
        <vt:i4>5</vt:i4>
      </vt:variant>
      <vt:variant>
        <vt:lpwstr>mailto:pwood@huntenergy.com</vt:lpwstr>
      </vt:variant>
      <vt:variant>
        <vt:lpwstr/>
      </vt:variant>
      <vt:variant>
        <vt:i4>3211364</vt:i4>
      </vt:variant>
      <vt:variant>
        <vt:i4>0</vt:i4>
      </vt:variant>
      <vt:variant>
        <vt:i4>0</vt:i4>
      </vt:variant>
      <vt:variant>
        <vt:i4>5</vt:i4>
      </vt:variant>
      <vt:variant>
        <vt:lpwstr>https://interchange.puc.texas.gov/Documents/54224_18_1253442.PDF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Manny Uy</dc:creator>
  <cp:keywords/>
  <dc:description/>
  <cp:lastModifiedBy>Manny Uy</cp:lastModifiedBy>
  <cp:revision>3</cp:revision>
  <dcterms:created xsi:type="dcterms:W3CDTF">2024-10-11T17:59:00Z</dcterms:created>
  <dcterms:modified xsi:type="dcterms:W3CDTF">2024-10-11T18:00:00Z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0x0101005491520C0E88A049BA230838797744A5</vt:lpwstr>
  </property>
  <property fmtid="{D5CDD505-2E9C-101B-9397-08002B2CF9AE}" pid="3" name="MediaServiceImageTags">
    <vt:lpwstr/>
  </property>
</Properties>
</file>